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52.00000000000003" w:lineRule="auto"/>
        <w:ind w:left="720" w:firstLine="54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</w:rPr>
        <w:drawing>
          <wp:inline distB="0" distT="0" distL="0" distR="0">
            <wp:extent cx="3857625" cy="11334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33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Dear </w:t>
      </w: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(RECIPIENT'S NAME)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" w:cs="Times" w:eastAsia="Times" w:hAnsi="Times"/>
        </w:rPr>
      </w:pP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(YOUR NAME)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has made a donation of $</w:t>
      </w: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(DONATION AMOUNT)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in your name to GiveWell. This donation 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highlight w:val="white"/>
          <w:rtl w:val="0"/>
        </w:rPr>
        <w:t xml:space="preserve">is designated for the support of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rtl w:val="0"/>
        </w:rPr>
        <w:t xml:space="preserve">GiveWell’s Top Charities Fund.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GiveWell will allocate this donation among the following four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programs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 it recommends according to where it sees the highest-value funding opportunities (taking into account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programs’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 funding needs and donations from other sources):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Malaria Consortium’s seasonal malaria chemoprevention program, which distributes preventive anti-malarial drugs to young children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Against Malaria Foundation, which distributes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insecticide-treated nets to prevent malaria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Helen Keller International’s vitamin A supplementation program, wh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ich distributes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vitamin A capsules to preschool-age children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Incentives, which promotes childhood vaccinations in Niger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GiveWell is a nonprofit dedicated to finding outstanding giving opportunities. More than 50,000 hours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each year go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into researching evidence-backed, cost-effective programs to save or improve lives. For more information on these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organizations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 GiveWell’s work, please visit us online at </w:t>
      </w:r>
      <w:hyperlink r:id="rId7">
        <w:r w:rsidDel="00000000" w:rsidR="00000000" w:rsidRPr="00000000">
          <w:rPr>
            <w:rFonts w:ascii="Libre Baskerville" w:cs="Libre Baskerville" w:eastAsia="Libre Baskerville" w:hAnsi="Libre Baskerville"/>
            <w:b w:val="0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www.GiveWell.org</w:t>
        </w:r>
      </w:hyperlink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Thank you for your support!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GiveWell Staff</w:t>
        <w:br w:type="textWrapping"/>
      </w:r>
      <w:hyperlink r:id="rId8">
        <w:r w:rsidDel="00000000" w:rsidR="00000000" w:rsidRPr="00000000">
          <w:rPr>
            <w:rFonts w:ascii="Libre Baskerville" w:cs="Libre Baskerville" w:eastAsia="Libre Baskerville" w:hAnsi="Libre Baskerville"/>
            <w:color w:val="0000ff"/>
            <w:u w:val="single"/>
            <w:rtl w:val="0"/>
          </w:rPr>
          <w:t xml:space="preserve">www.GiveWell.org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584" w:right="15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ivewell.org" TargetMode="External"/><Relationship Id="rId8" Type="http://schemas.openxmlformats.org/officeDocument/2006/relationships/hyperlink" Target="http://www.givewel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