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36" w:rsidRPr="0055711A" w:rsidRDefault="0055711A">
      <w:pPr>
        <w:rPr>
          <w:b/>
        </w:rPr>
      </w:pPr>
      <w:r w:rsidRPr="0055711A">
        <w:rPr>
          <w:b/>
        </w:rPr>
        <w:t>Objectives</w:t>
      </w:r>
    </w:p>
    <w:p w:rsidR="0055711A" w:rsidRDefault="0055711A" w:rsidP="0055711A">
      <w:pPr>
        <w:rPr>
          <w:rFonts w:ascii="Calibri" w:eastAsia="Calibri" w:hAnsi="Calibri" w:cs="Times New Roman"/>
        </w:rPr>
      </w:pPr>
      <w:r w:rsidRPr="00D543B2">
        <w:rPr>
          <w:rFonts w:ascii="Calibri" w:eastAsia="Calibri" w:hAnsi="Calibri" w:cs="Times New Roman"/>
        </w:rPr>
        <w:t xml:space="preserve">The goal of the </w:t>
      </w:r>
      <w:r>
        <w:rPr>
          <w:rFonts w:ascii="Calibri" w:eastAsia="Calibri" w:hAnsi="Calibri" w:cs="Times New Roman"/>
        </w:rPr>
        <w:t>pilot is to structure and systematis</w:t>
      </w:r>
      <w:r w:rsidRPr="00D543B2">
        <w:rPr>
          <w:rFonts w:ascii="Calibri" w:eastAsia="Calibri" w:hAnsi="Calibri" w:cs="Times New Roman"/>
        </w:rPr>
        <w:t>e the Skills Dev</w:t>
      </w:r>
      <w:r>
        <w:rPr>
          <w:rFonts w:ascii="Calibri" w:eastAsia="Calibri" w:hAnsi="Calibri" w:cs="Times New Roman"/>
        </w:rPr>
        <w:t>elopment sessions in the field through providing F</w:t>
      </w:r>
      <w:r w:rsidR="00594093">
        <w:rPr>
          <w:rFonts w:ascii="Calibri" w:hAnsi="Calibri"/>
        </w:rPr>
        <w:t xml:space="preserve">reedom from </w:t>
      </w:r>
      <w:r>
        <w:rPr>
          <w:rFonts w:ascii="Calibri" w:eastAsia="Calibri" w:hAnsi="Calibri" w:cs="Times New Roman"/>
        </w:rPr>
        <w:t>H</w:t>
      </w:r>
      <w:r w:rsidR="00594093">
        <w:rPr>
          <w:rFonts w:ascii="Calibri" w:hAnsi="Calibri"/>
        </w:rPr>
        <w:t>unger</w:t>
      </w:r>
      <w:r>
        <w:rPr>
          <w:rFonts w:ascii="Calibri" w:eastAsia="Calibri" w:hAnsi="Calibri" w:cs="Times New Roman"/>
        </w:rPr>
        <w:t xml:space="preserve">’s Technical Learning Conversation (TLC) sessions to SEF clients. The pilot is aiming to meet clients’ needs and </w:t>
      </w:r>
      <w:r>
        <w:rPr>
          <w:rFonts w:ascii="Calibri" w:hAnsi="Calibri"/>
        </w:rPr>
        <w:t>influencing</w:t>
      </w:r>
      <w:r>
        <w:rPr>
          <w:rFonts w:ascii="Calibri" w:eastAsia="Calibri" w:hAnsi="Calibri" w:cs="Times New Roman"/>
        </w:rPr>
        <w:t xml:space="preserve"> clients’ businesses and lives through increased use of knowledge obtained during TLC sessions. </w:t>
      </w:r>
      <w:r>
        <w:rPr>
          <w:rFonts w:ascii="Calibri" w:hAnsi="Calibri"/>
        </w:rPr>
        <w:t>Furthermore,</w:t>
      </w:r>
      <w:r>
        <w:rPr>
          <w:rFonts w:ascii="Calibri" w:eastAsia="Calibri" w:hAnsi="Calibri" w:cs="Times New Roman"/>
        </w:rPr>
        <w:t xml:space="preserve"> the pilot intends to define and structure a sustainable TLC delivery mechanism to best fit the SEF institutional context. </w:t>
      </w:r>
    </w:p>
    <w:p w:rsidR="00E20423" w:rsidRDefault="00E20423" w:rsidP="0055711A">
      <w:pPr>
        <w:rPr>
          <w:rFonts w:ascii="Calibri" w:hAnsi="Calibri"/>
          <w:b/>
        </w:rPr>
      </w:pPr>
    </w:p>
    <w:p w:rsidR="0055711A" w:rsidRPr="0055711A" w:rsidRDefault="0055711A" w:rsidP="0055711A">
      <w:pPr>
        <w:rPr>
          <w:rFonts w:ascii="Calibri" w:hAnsi="Calibri"/>
          <w:b/>
        </w:rPr>
      </w:pPr>
      <w:r w:rsidRPr="0055711A">
        <w:rPr>
          <w:rFonts w:ascii="Calibri" w:hAnsi="Calibri"/>
          <w:b/>
        </w:rPr>
        <w:t>Pilot description</w:t>
      </w:r>
    </w:p>
    <w:p w:rsidR="0055711A" w:rsidRDefault="0055711A" w:rsidP="0055711A">
      <w:pPr>
        <w:rPr>
          <w:rFonts w:ascii="Calibri" w:hAnsi="Calibri"/>
        </w:rPr>
      </w:pPr>
      <w:r>
        <w:rPr>
          <w:rFonts w:ascii="Calibri" w:eastAsia="Calibri" w:hAnsi="Calibri" w:cs="Times New Roman"/>
        </w:rPr>
        <w:t xml:space="preserve">The </w:t>
      </w:r>
      <w:r>
        <w:rPr>
          <w:rFonts w:ascii="Calibri" w:hAnsi="Calibri"/>
        </w:rPr>
        <w:t>TLC</w:t>
      </w:r>
      <w:r>
        <w:rPr>
          <w:rFonts w:ascii="Calibri" w:eastAsia="Calibri" w:hAnsi="Calibri" w:cs="Times New Roman"/>
        </w:rPr>
        <w:t xml:space="preserve"> pilot </w:t>
      </w:r>
      <w:proofErr w:type="gramStart"/>
      <w:r>
        <w:rPr>
          <w:rFonts w:ascii="Calibri" w:eastAsia="Calibri" w:hAnsi="Calibri" w:cs="Times New Roman"/>
        </w:rPr>
        <w:t>is defined</w:t>
      </w:r>
      <w:proofErr w:type="gramEnd"/>
      <w:r>
        <w:rPr>
          <w:rFonts w:ascii="Calibri" w:eastAsia="Calibri" w:hAnsi="Calibri" w:cs="Times New Roman"/>
        </w:rPr>
        <w:t xml:space="preserve"> as a method of bettering the quality of the current Skills Development sessions held during Centre Meetings and responding to the need for improved financial and business education for SEF’s clients.  </w:t>
      </w:r>
    </w:p>
    <w:p w:rsidR="00194629" w:rsidRDefault="0055711A" w:rsidP="0055711A">
      <w:pPr>
        <w:rPr>
          <w:rFonts w:ascii="Calibri" w:hAnsi="Calibri"/>
        </w:rPr>
      </w:pPr>
      <w:r>
        <w:rPr>
          <w:rFonts w:ascii="Calibri" w:hAnsi="Calibri"/>
        </w:rPr>
        <w:t xml:space="preserve">The pilot started in </w:t>
      </w:r>
      <w:proofErr w:type="spellStart"/>
      <w:r>
        <w:rPr>
          <w:rFonts w:ascii="Calibri" w:hAnsi="Calibri"/>
        </w:rPr>
        <w:t>Trichardsdal</w:t>
      </w:r>
      <w:proofErr w:type="spellEnd"/>
      <w:r>
        <w:rPr>
          <w:rFonts w:ascii="Calibri" w:hAnsi="Calibri"/>
        </w:rPr>
        <w:t xml:space="preserve"> and Burgersfort branch in May 2011. </w:t>
      </w:r>
      <w:r w:rsidR="00194629">
        <w:rPr>
          <w:rFonts w:ascii="Calibri" w:hAnsi="Calibri"/>
        </w:rPr>
        <w:t xml:space="preserve">All except </w:t>
      </w:r>
      <w:proofErr w:type="gramStart"/>
      <w:r w:rsidR="00194629">
        <w:rPr>
          <w:rFonts w:ascii="Calibri" w:hAnsi="Calibri"/>
        </w:rPr>
        <w:t>2</w:t>
      </w:r>
      <w:proofErr w:type="gramEnd"/>
      <w:r w:rsidR="00194629">
        <w:rPr>
          <w:rFonts w:ascii="Calibri" w:hAnsi="Calibri"/>
        </w:rPr>
        <w:t xml:space="preserve"> DFs in </w:t>
      </w:r>
      <w:r w:rsidR="00594093">
        <w:rPr>
          <w:rFonts w:ascii="Calibri" w:hAnsi="Calibri"/>
        </w:rPr>
        <w:t>the two pilot branches</w:t>
      </w:r>
      <w:r w:rsidR="00194629">
        <w:rPr>
          <w:rFonts w:ascii="Calibri" w:hAnsi="Calibri"/>
        </w:rPr>
        <w:t xml:space="preserve"> were </w:t>
      </w:r>
      <w:r w:rsidR="003306E1">
        <w:rPr>
          <w:rFonts w:ascii="Calibri" w:hAnsi="Calibri"/>
        </w:rPr>
        <w:t>trained on the “Debt management” module</w:t>
      </w:r>
      <w:r w:rsidR="0065652C">
        <w:rPr>
          <w:rFonts w:ascii="Calibri" w:hAnsi="Calibri"/>
        </w:rPr>
        <w:t xml:space="preserve"> by FFH trainers</w:t>
      </w:r>
      <w:r w:rsidR="003306E1">
        <w:rPr>
          <w:rFonts w:ascii="Calibri" w:hAnsi="Calibri"/>
        </w:rPr>
        <w:t xml:space="preserve">. </w:t>
      </w:r>
      <w:r w:rsidR="00194629">
        <w:rPr>
          <w:rFonts w:ascii="Calibri" w:hAnsi="Calibri"/>
        </w:rPr>
        <w:t xml:space="preserve">In the first month of the </w:t>
      </w:r>
      <w:r w:rsidR="00594093">
        <w:rPr>
          <w:rFonts w:ascii="Calibri" w:hAnsi="Calibri"/>
        </w:rPr>
        <w:t>pilot,</w:t>
      </w:r>
      <w:r w:rsidR="00194629">
        <w:rPr>
          <w:rFonts w:ascii="Calibri" w:hAnsi="Calibri"/>
        </w:rPr>
        <w:t xml:space="preserve"> one DF in </w:t>
      </w:r>
      <w:proofErr w:type="spellStart"/>
      <w:r w:rsidR="00194629">
        <w:rPr>
          <w:rFonts w:ascii="Calibri" w:hAnsi="Calibri"/>
        </w:rPr>
        <w:t>Tdal</w:t>
      </w:r>
      <w:proofErr w:type="spellEnd"/>
      <w:r w:rsidR="00194629">
        <w:rPr>
          <w:rFonts w:ascii="Calibri" w:hAnsi="Calibri"/>
        </w:rPr>
        <w:t xml:space="preserve"> </w:t>
      </w:r>
      <w:r w:rsidR="00594093">
        <w:rPr>
          <w:rFonts w:ascii="Calibri" w:hAnsi="Calibri"/>
        </w:rPr>
        <w:t>was</w:t>
      </w:r>
      <w:r w:rsidR="00194629">
        <w:rPr>
          <w:rFonts w:ascii="Calibri" w:hAnsi="Calibri"/>
        </w:rPr>
        <w:t xml:space="preserve"> promoted to a BMT position and another one resigned, resulting in training of the </w:t>
      </w:r>
      <w:proofErr w:type="gramStart"/>
      <w:r w:rsidR="00194629">
        <w:rPr>
          <w:rFonts w:ascii="Calibri" w:hAnsi="Calibri"/>
        </w:rPr>
        <w:t>2</w:t>
      </w:r>
      <w:proofErr w:type="gramEnd"/>
      <w:r w:rsidR="00194629">
        <w:rPr>
          <w:rFonts w:ascii="Calibri" w:hAnsi="Calibri"/>
        </w:rPr>
        <w:t xml:space="preserve"> replacements and the untrained DF in </w:t>
      </w:r>
      <w:proofErr w:type="spellStart"/>
      <w:r w:rsidR="00194629">
        <w:rPr>
          <w:rFonts w:ascii="Calibri" w:hAnsi="Calibri"/>
        </w:rPr>
        <w:t>Bfort</w:t>
      </w:r>
      <w:proofErr w:type="spellEnd"/>
      <w:r w:rsidR="00194629">
        <w:rPr>
          <w:rFonts w:ascii="Calibri" w:hAnsi="Calibri"/>
        </w:rPr>
        <w:t>, which returned from maternity, at the end of June</w:t>
      </w:r>
      <w:r w:rsidR="0065652C">
        <w:rPr>
          <w:rFonts w:ascii="Calibri" w:hAnsi="Calibri"/>
        </w:rPr>
        <w:t xml:space="preserve"> 2011 by SEF’s Training department</w:t>
      </w:r>
      <w:r w:rsidR="00194629">
        <w:rPr>
          <w:rFonts w:ascii="Calibri" w:hAnsi="Calibri"/>
        </w:rPr>
        <w:t xml:space="preserve">. </w:t>
      </w:r>
    </w:p>
    <w:p w:rsidR="00194629" w:rsidRDefault="004C19FB" w:rsidP="0055711A">
      <w:pPr>
        <w:rPr>
          <w:rFonts w:ascii="Calibri" w:hAnsi="Calibri"/>
        </w:rPr>
      </w:pPr>
      <w:r>
        <w:rPr>
          <w:rFonts w:ascii="Calibri" w:hAnsi="Calibri"/>
        </w:rPr>
        <w:t>Originally,</w:t>
      </w:r>
      <w:r w:rsidR="00594093">
        <w:rPr>
          <w:rFonts w:ascii="Calibri" w:hAnsi="Calibri"/>
        </w:rPr>
        <w:t xml:space="preserve"> on</w:t>
      </w:r>
      <w:r>
        <w:rPr>
          <w:rFonts w:ascii="Calibri" w:hAnsi="Calibri"/>
        </w:rPr>
        <w:t xml:space="preserve">ly the </w:t>
      </w:r>
      <w:r w:rsidR="0065652C">
        <w:rPr>
          <w:rFonts w:ascii="Calibri" w:hAnsi="Calibri"/>
        </w:rPr>
        <w:t>branch manager (BM)</w:t>
      </w:r>
      <w:r>
        <w:rPr>
          <w:rFonts w:ascii="Calibri" w:hAnsi="Calibri"/>
        </w:rPr>
        <w:t xml:space="preserve"> </w:t>
      </w:r>
      <w:r w:rsidR="00594093">
        <w:rPr>
          <w:rFonts w:ascii="Calibri" w:hAnsi="Calibri"/>
        </w:rPr>
        <w:t xml:space="preserve">from </w:t>
      </w:r>
      <w:proofErr w:type="spellStart"/>
      <w:r w:rsidR="00594093">
        <w:rPr>
          <w:rFonts w:ascii="Calibri" w:hAnsi="Calibri"/>
        </w:rPr>
        <w:t>Tdal</w:t>
      </w:r>
      <w:proofErr w:type="spellEnd"/>
      <w:r w:rsidR="00594093">
        <w:rPr>
          <w:rFonts w:ascii="Calibri" w:hAnsi="Calibri"/>
        </w:rPr>
        <w:t xml:space="preserve"> </w:t>
      </w:r>
      <w:r>
        <w:rPr>
          <w:rFonts w:ascii="Calibri" w:hAnsi="Calibri"/>
        </w:rPr>
        <w:t xml:space="preserve">and the </w:t>
      </w:r>
      <w:proofErr w:type="spellStart"/>
      <w:r w:rsidR="0065652C">
        <w:rPr>
          <w:rFonts w:ascii="Calibri" w:hAnsi="Calibri"/>
        </w:rPr>
        <w:t>zonal</w:t>
      </w:r>
      <w:proofErr w:type="spellEnd"/>
      <w:r w:rsidR="0065652C">
        <w:rPr>
          <w:rFonts w:ascii="Calibri" w:hAnsi="Calibri"/>
        </w:rPr>
        <w:t xml:space="preserve"> manager (ZM)</w:t>
      </w:r>
      <w:r>
        <w:rPr>
          <w:rFonts w:ascii="Calibri" w:hAnsi="Calibri"/>
        </w:rPr>
        <w:t xml:space="preserve"> from Central zone</w:t>
      </w:r>
      <w:r w:rsidR="00594093">
        <w:rPr>
          <w:rFonts w:ascii="Calibri" w:hAnsi="Calibri"/>
        </w:rPr>
        <w:t xml:space="preserve"> </w:t>
      </w:r>
      <w:proofErr w:type="gramStart"/>
      <w:r w:rsidR="00594093">
        <w:rPr>
          <w:rFonts w:ascii="Calibri" w:hAnsi="Calibri"/>
        </w:rPr>
        <w:t>were trained</w:t>
      </w:r>
      <w:proofErr w:type="gramEnd"/>
      <w:r w:rsidR="00594093">
        <w:rPr>
          <w:rFonts w:ascii="Calibri" w:hAnsi="Calibri"/>
        </w:rPr>
        <w:t xml:space="preserve"> on supervision, since the BM from Burgersfort got sick and the ZM from the South Zone </w:t>
      </w:r>
      <w:r w:rsidR="004E0208">
        <w:rPr>
          <w:rFonts w:ascii="Calibri" w:hAnsi="Calibri"/>
        </w:rPr>
        <w:t>did not</w:t>
      </w:r>
      <w:r w:rsidR="00594093">
        <w:rPr>
          <w:rFonts w:ascii="Calibri" w:hAnsi="Calibri"/>
        </w:rPr>
        <w:t xml:space="preserve"> have time to attend the training. However, the </w:t>
      </w:r>
      <w:proofErr w:type="spellStart"/>
      <w:r w:rsidR="00594093">
        <w:rPr>
          <w:rFonts w:ascii="Calibri" w:hAnsi="Calibri"/>
        </w:rPr>
        <w:t>Tdal</w:t>
      </w:r>
      <w:proofErr w:type="spellEnd"/>
      <w:r w:rsidR="00594093">
        <w:rPr>
          <w:rFonts w:ascii="Calibri" w:hAnsi="Calibri"/>
        </w:rPr>
        <w:t xml:space="preserve"> BM went soon on maternity leave and the relieving BM, the BM from Burgersfort and the </w:t>
      </w:r>
      <w:proofErr w:type="gramStart"/>
      <w:r w:rsidR="00594093">
        <w:rPr>
          <w:rFonts w:ascii="Calibri" w:hAnsi="Calibri"/>
        </w:rPr>
        <w:t xml:space="preserve">ZM from South zone were trained by </w:t>
      </w:r>
      <w:r w:rsidR="0065652C">
        <w:rPr>
          <w:rFonts w:ascii="Calibri" w:hAnsi="Calibri"/>
        </w:rPr>
        <w:t xml:space="preserve">the </w:t>
      </w:r>
      <w:r w:rsidR="00594093">
        <w:rPr>
          <w:rFonts w:ascii="Calibri" w:hAnsi="Calibri"/>
        </w:rPr>
        <w:t>Training department on supervision at the end of June</w:t>
      </w:r>
      <w:proofErr w:type="gramEnd"/>
      <w:r w:rsidR="00594093">
        <w:rPr>
          <w:rFonts w:ascii="Calibri" w:hAnsi="Calibri"/>
        </w:rPr>
        <w:t xml:space="preserve">. </w:t>
      </w:r>
    </w:p>
    <w:p w:rsidR="00E20423" w:rsidRDefault="00E20423" w:rsidP="0055711A">
      <w:pPr>
        <w:rPr>
          <w:rFonts w:ascii="Calibri" w:hAnsi="Calibri"/>
          <w:b/>
        </w:rPr>
      </w:pPr>
    </w:p>
    <w:p w:rsidR="006A2F0A" w:rsidRDefault="006A2F0A" w:rsidP="0055711A">
      <w:pPr>
        <w:rPr>
          <w:rFonts w:ascii="Calibri" w:hAnsi="Calibri"/>
          <w:b/>
        </w:rPr>
      </w:pPr>
      <w:r w:rsidRPr="006A2F0A">
        <w:rPr>
          <w:rFonts w:ascii="Calibri" w:hAnsi="Calibri"/>
          <w:b/>
        </w:rPr>
        <w:t xml:space="preserve">Quantitative </w:t>
      </w:r>
      <w:r w:rsidR="00F233B8">
        <w:rPr>
          <w:rFonts w:ascii="Calibri" w:hAnsi="Calibri"/>
          <w:b/>
        </w:rPr>
        <w:t xml:space="preserve">&amp; Qualitative </w:t>
      </w:r>
      <w:r w:rsidRPr="006A2F0A">
        <w:rPr>
          <w:rFonts w:ascii="Calibri" w:hAnsi="Calibri"/>
          <w:b/>
        </w:rPr>
        <w:t>Analysis</w:t>
      </w:r>
    </w:p>
    <w:p w:rsidR="00F233B8" w:rsidRDefault="0065652C" w:rsidP="0055711A">
      <w:pPr>
        <w:rPr>
          <w:rFonts w:ascii="Calibri" w:hAnsi="Calibri"/>
        </w:rPr>
      </w:pPr>
      <w:r>
        <w:rPr>
          <w:rFonts w:ascii="Calibri" w:hAnsi="Calibri"/>
        </w:rPr>
        <w:t xml:space="preserve">During the implementation workshop held in April 2011, SEF staff discussed together with FFH a couple of objectives and issues that we would like to achieve or find an answer on through the pilot. </w:t>
      </w:r>
      <w:r w:rsidR="000B4084">
        <w:rPr>
          <w:rFonts w:ascii="Calibri" w:hAnsi="Calibri"/>
        </w:rPr>
        <w:t xml:space="preserve">Furthermore, </w:t>
      </w:r>
      <w:r w:rsidR="005A77FE">
        <w:rPr>
          <w:rFonts w:ascii="Calibri" w:hAnsi="Calibri"/>
        </w:rPr>
        <w:t xml:space="preserve">PRIDE developed </w:t>
      </w:r>
      <w:r w:rsidR="000B4084">
        <w:rPr>
          <w:rFonts w:ascii="Calibri" w:hAnsi="Calibri"/>
        </w:rPr>
        <w:t>a pilot proposal at the beginning of the pilot, which outlines the main areas of concern and possible risks linked to the pilot</w:t>
      </w:r>
      <w:r w:rsidR="00D942F1">
        <w:rPr>
          <w:rFonts w:ascii="Calibri" w:hAnsi="Calibri"/>
        </w:rPr>
        <w:t xml:space="preserve">. This analysis </w:t>
      </w:r>
      <w:proofErr w:type="gramStart"/>
      <w:r w:rsidR="00D942F1">
        <w:rPr>
          <w:rFonts w:ascii="Calibri" w:hAnsi="Calibri"/>
        </w:rPr>
        <w:t>is based</w:t>
      </w:r>
      <w:proofErr w:type="gramEnd"/>
      <w:r w:rsidR="00D942F1">
        <w:rPr>
          <w:rFonts w:ascii="Calibri" w:hAnsi="Calibri"/>
        </w:rPr>
        <w:t xml:space="preserve"> on findings from Focus Group Discussions with clients, discussion with branch staff and collection of data through observation checklists. </w:t>
      </w:r>
    </w:p>
    <w:p w:rsidR="000C33D1" w:rsidRPr="007F2C50" w:rsidRDefault="000C33D1" w:rsidP="0055711A">
      <w:pPr>
        <w:rPr>
          <w:rFonts w:ascii="Calibri" w:hAnsi="Calibri"/>
          <w:b/>
          <w:i/>
          <w:u w:val="single"/>
        </w:rPr>
      </w:pPr>
      <w:r w:rsidRPr="007F2C50">
        <w:rPr>
          <w:rFonts w:ascii="Calibri" w:hAnsi="Calibri"/>
          <w:b/>
          <w:i/>
          <w:u w:val="single"/>
        </w:rPr>
        <w:t>Objective 1: Will TLC</w:t>
      </w:r>
      <w:r w:rsidR="00035796">
        <w:rPr>
          <w:rFonts w:ascii="Calibri" w:hAnsi="Calibri"/>
          <w:b/>
          <w:i/>
          <w:u w:val="single"/>
        </w:rPr>
        <w:t>s</w:t>
      </w:r>
      <w:r w:rsidRPr="007F2C50">
        <w:rPr>
          <w:rFonts w:ascii="Calibri" w:hAnsi="Calibri"/>
          <w:b/>
          <w:i/>
          <w:u w:val="single"/>
        </w:rPr>
        <w:t xml:space="preserve"> contribute to increase</w:t>
      </w:r>
      <w:r w:rsidR="00470F7B" w:rsidRPr="007F2C50">
        <w:rPr>
          <w:rFonts w:ascii="Calibri" w:hAnsi="Calibri"/>
          <w:b/>
          <w:i/>
          <w:u w:val="single"/>
        </w:rPr>
        <w:t>d</w:t>
      </w:r>
      <w:r w:rsidRPr="007F2C50">
        <w:rPr>
          <w:rFonts w:ascii="Calibri" w:hAnsi="Calibri"/>
          <w:b/>
          <w:i/>
          <w:u w:val="single"/>
        </w:rPr>
        <w:t xml:space="preserve"> </w:t>
      </w:r>
      <w:r w:rsidR="00D942F1">
        <w:rPr>
          <w:rFonts w:ascii="Calibri" w:hAnsi="Calibri"/>
          <w:b/>
          <w:i/>
          <w:u w:val="single"/>
        </w:rPr>
        <w:t>improved performance in the branches</w:t>
      </w:r>
      <w:r w:rsidR="00F233B8" w:rsidRPr="007F2C50">
        <w:rPr>
          <w:rFonts w:ascii="Calibri" w:hAnsi="Calibri"/>
          <w:b/>
          <w:i/>
          <w:u w:val="single"/>
        </w:rPr>
        <w:t>?</w:t>
      </w:r>
    </w:p>
    <w:p w:rsidR="00D942F1" w:rsidRPr="00D942F1" w:rsidRDefault="00D942F1" w:rsidP="00ED00D7">
      <w:pPr>
        <w:rPr>
          <w:rFonts w:ascii="Calibri" w:hAnsi="Calibri"/>
          <w:i/>
          <w:u w:val="single"/>
        </w:rPr>
      </w:pPr>
      <w:r w:rsidRPr="00D942F1">
        <w:rPr>
          <w:rFonts w:ascii="Calibri" w:hAnsi="Calibri"/>
          <w:i/>
          <w:u w:val="single"/>
        </w:rPr>
        <w:t>Attendance</w:t>
      </w:r>
    </w:p>
    <w:p w:rsidR="00ED00D7" w:rsidRDefault="00ED00D7" w:rsidP="00ED00D7">
      <w:pPr>
        <w:rPr>
          <w:rFonts w:ascii="Calibri" w:hAnsi="Calibri"/>
        </w:rPr>
      </w:pPr>
      <w:r>
        <w:rPr>
          <w:rFonts w:ascii="Calibri" w:hAnsi="Calibri"/>
        </w:rPr>
        <w:t>In both branches, discussions revealed that most clients who often mi</w:t>
      </w:r>
      <w:r w:rsidR="00470F7B">
        <w:rPr>
          <w:rFonts w:ascii="Calibri" w:hAnsi="Calibri"/>
        </w:rPr>
        <w:t xml:space="preserve">ss centre meetings have temporary </w:t>
      </w:r>
      <w:r>
        <w:rPr>
          <w:rFonts w:ascii="Calibri" w:hAnsi="Calibri"/>
        </w:rPr>
        <w:t xml:space="preserve">or full time jobs as domestic workers, seasonal farmers or have to attend family funerals. These clients rely on grants, remittances and other sources of income to repay their loans. </w:t>
      </w:r>
      <w:r w:rsidR="00BB1C1E">
        <w:rPr>
          <w:rFonts w:ascii="Calibri" w:hAnsi="Calibri"/>
        </w:rPr>
        <w:t>Based on this fact we can conclude</w:t>
      </w:r>
      <w:r w:rsidR="00BF0538">
        <w:rPr>
          <w:rFonts w:ascii="Calibri" w:hAnsi="Calibri"/>
        </w:rPr>
        <w:t xml:space="preserve"> that clients who attend TLCs regularly are those with businesses.</w:t>
      </w:r>
    </w:p>
    <w:p w:rsidR="00470F7B" w:rsidRPr="000B4084" w:rsidRDefault="00470F7B" w:rsidP="00ED00D7">
      <w:pPr>
        <w:rPr>
          <w:sz w:val="24"/>
          <w:szCs w:val="24"/>
        </w:rPr>
      </w:pPr>
      <w:r>
        <w:rPr>
          <w:rFonts w:ascii="Calibri" w:hAnsi="Calibri"/>
        </w:rPr>
        <w:t>The analysis of attendance data since M</w:t>
      </w:r>
      <w:r w:rsidR="00BB1C1E">
        <w:rPr>
          <w:rFonts w:ascii="Calibri" w:hAnsi="Calibri"/>
        </w:rPr>
        <w:t>ay 2011 in both branches revealed</w:t>
      </w:r>
      <w:r>
        <w:rPr>
          <w:rFonts w:ascii="Calibri" w:hAnsi="Calibri"/>
        </w:rPr>
        <w:t xml:space="preserve"> that Burgersfort had stable attendance during fortnightly centre meetings, whereas the attendance in </w:t>
      </w:r>
      <w:proofErr w:type="spellStart"/>
      <w:r>
        <w:rPr>
          <w:rFonts w:ascii="Calibri" w:hAnsi="Calibri"/>
        </w:rPr>
        <w:t>Tdal</w:t>
      </w:r>
      <w:proofErr w:type="spellEnd"/>
      <w:r>
        <w:rPr>
          <w:rFonts w:ascii="Calibri" w:hAnsi="Calibri"/>
        </w:rPr>
        <w:t xml:space="preserve"> dropped from </w:t>
      </w:r>
      <w:r>
        <w:rPr>
          <w:rFonts w:ascii="Calibri" w:hAnsi="Calibri"/>
        </w:rPr>
        <w:lastRenderedPageBreak/>
        <w:t xml:space="preserve">an average of 62% in May to 57% in August. </w:t>
      </w:r>
      <w:r w:rsidR="000B4084">
        <w:rPr>
          <w:rFonts w:ascii="Calibri" w:hAnsi="Calibri"/>
        </w:rPr>
        <w:t xml:space="preserve">The </w:t>
      </w:r>
      <w:r w:rsidR="00BB1C1E">
        <w:rPr>
          <w:rFonts w:ascii="Calibri" w:hAnsi="Calibri"/>
        </w:rPr>
        <w:t xml:space="preserve">change in </w:t>
      </w:r>
      <w:r w:rsidR="000B4084">
        <w:rPr>
          <w:rFonts w:ascii="Calibri" w:hAnsi="Calibri"/>
        </w:rPr>
        <w:t xml:space="preserve">attendance in </w:t>
      </w:r>
      <w:proofErr w:type="spellStart"/>
      <w:r w:rsidR="000B4084">
        <w:rPr>
          <w:rFonts w:ascii="Calibri" w:hAnsi="Calibri"/>
        </w:rPr>
        <w:t>Tdal</w:t>
      </w:r>
      <w:proofErr w:type="spellEnd"/>
      <w:r w:rsidR="000B4084">
        <w:rPr>
          <w:rFonts w:ascii="Calibri" w:hAnsi="Calibri"/>
        </w:rPr>
        <w:t xml:space="preserve"> </w:t>
      </w:r>
      <w:r w:rsidR="00BB1C1E">
        <w:rPr>
          <w:rFonts w:ascii="Calibri" w:hAnsi="Calibri"/>
        </w:rPr>
        <w:t>corresponds to</w:t>
      </w:r>
      <w:r w:rsidR="000B4084">
        <w:rPr>
          <w:rFonts w:ascii="Calibri" w:hAnsi="Calibri"/>
        </w:rPr>
        <w:t xml:space="preserve"> SEF’s overall attendance, </w:t>
      </w:r>
      <w:r w:rsidR="000B4084" w:rsidRPr="000B4084">
        <w:t>which usually falls at the beginning of the year in January from the previous year’s December. It then increases from February to April before declining for a considerable period to a low in August. From October to December, attendance rises to a peak.</w:t>
      </w:r>
    </w:p>
    <w:p w:rsidR="00470F7B" w:rsidRPr="00470F7B" w:rsidRDefault="00470F7B" w:rsidP="00ED00D7">
      <w:pPr>
        <w:rPr>
          <w:rFonts w:ascii="Calibri" w:hAnsi="Calibri"/>
          <w:b/>
        </w:rPr>
      </w:pPr>
      <w:r w:rsidRPr="00470F7B">
        <w:rPr>
          <w:rFonts w:ascii="Calibri" w:hAnsi="Calibri"/>
          <w:b/>
        </w:rPr>
        <w:t xml:space="preserve">Table 1: Attendance data </w:t>
      </w:r>
    </w:p>
    <w:p w:rsidR="00470F7B" w:rsidRPr="00ED00D7" w:rsidRDefault="009B4799" w:rsidP="00ED00D7">
      <w:pPr>
        <w:rPr>
          <w:rFonts w:ascii="Calibri" w:hAnsi="Calibri"/>
        </w:rPr>
      </w:pPr>
      <w:r w:rsidRPr="009B4799">
        <w:rPr>
          <w:rFonts w:ascii="Calibri" w:hAnsi="Calibri"/>
          <w:noProof/>
          <w:lang w:eastAsia="en-ZA"/>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61E5" w:rsidRDefault="00470F7B" w:rsidP="0055711A">
      <w:pPr>
        <w:rPr>
          <w:rFonts w:ascii="Calibri" w:hAnsi="Calibri"/>
          <w:color w:val="FF0000"/>
        </w:rPr>
      </w:pPr>
      <w:r>
        <w:rPr>
          <w:rFonts w:ascii="Calibri" w:hAnsi="Calibri"/>
        </w:rPr>
        <w:t xml:space="preserve">Table 1 </w:t>
      </w:r>
      <w:r w:rsidR="00AE5CEE">
        <w:rPr>
          <w:rFonts w:ascii="Calibri" w:hAnsi="Calibri"/>
        </w:rPr>
        <w:t>outlines</w:t>
      </w:r>
      <w:r>
        <w:rPr>
          <w:rFonts w:ascii="Calibri" w:hAnsi="Calibri"/>
        </w:rPr>
        <w:t xml:space="preserve"> the fortnightly attendance data in the two pilot branches and the attendance data captured from monitors and supervisors </w:t>
      </w:r>
      <w:r w:rsidR="00AE5CEE">
        <w:rPr>
          <w:rFonts w:ascii="Calibri" w:hAnsi="Calibri"/>
        </w:rPr>
        <w:t>during spot checks</w:t>
      </w:r>
      <w:r>
        <w:rPr>
          <w:rFonts w:ascii="Calibri" w:hAnsi="Calibri"/>
        </w:rPr>
        <w:t>.</w:t>
      </w:r>
      <w:r w:rsidR="00AE5CEE">
        <w:rPr>
          <w:rFonts w:ascii="Calibri" w:hAnsi="Calibri"/>
        </w:rPr>
        <w:t xml:space="preserve">  Whereas the situation in Burgersfort </w:t>
      </w:r>
      <w:r w:rsidR="004A72B7">
        <w:rPr>
          <w:rFonts w:ascii="Calibri" w:hAnsi="Calibri"/>
        </w:rPr>
        <w:t>(red) in</w:t>
      </w:r>
      <w:r w:rsidR="00AE5CEE">
        <w:rPr>
          <w:rFonts w:ascii="Calibri" w:hAnsi="Calibri"/>
        </w:rPr>
        <w:t xml:space="preserve"> the first 4 months of the pilot is stable, </w:t>
      </w:r>
      <w:proofErr w:type="gramStart"/>
      <w:r w:rsidR="00AE5CEE">
        <w:rPr>
          <w:rFonts w:ascii="Calibri" w:hAnsi="Calibri"/>
        </w:rPr>
        <w:t>4</w:t>
      </w:r>
      <w:proofErr w:type="gramEnd"/>
      <w:r w:rsidR="00AE5CEE">
        <w:rPr>
          <w:rFonts w:ascii="Calibri" w:hAnsi="Calibri"/>
        </w:rPr>
        <w:t xml:space="preserve"> out of the 6 DFs in </w:t>
      </w:r>
      <w:proofErr w:type="spellStart"/>
      <w:r w:rsidR="00AE5CEE">
        <w:rPr>
          <w:rFonts w:ascii="Calibri" w:hAnsi="Calibri"/>
        </w:rPr>
        <w:t>Tdal</w:t>
      </w:r>
      <w:proofErr w:type="spellEnd"/>
      <w:r w:rsidR="00AE5CEE">
        <w:rPr>
          <w:rFonts w:ascii="Calibri" w:hAnsi="Calibri"/>
        </w:rPr>
        <w:t xml:space="preserve"> </w:t>
      </w:r>
      <w:r w:rsidR="004A72B7">
        <w:rPr>
          <w:rFonts w:ascii="Calibri" w:hAnsi="Calibri"/>
        </w:rPr>
        <w:t xml:space="preserve">(green) </w:t>
      </w:r>
      <w:r w:rsidR="00AE5CEE">
        <w:rPr>
          <w:rFonts w:ascii="Calibri" w:hAnsi="Calibri"/>
        </w:rPr>
        <w:t xml:space="preserve">experienced </w:t>
      </w:r>
      <w:r w:rsidR="000B4084">
        <w:rPr>
          <w:rFonts w:ascii="Calibri" w:hAnsi="Calibri"/>
        </w:rPr>
        <w:t>the typical seasonal</w:t>
      </w:r>
      <w:r w:rsidR="00AE5CEE">
        <w:rPr>
          <w:rFonts w:ascii="Calibri" w:hAnsi="Calibri"/>
        </w:rPr>
        <w:t xml:space="preserve"> drop in their attendance or at least some fluctuations.</w:t>
      </w:r>
      <w:r w:rsidR="00C961E5" w:rsidRPr="00C961E5">
        <w:rPr>
          <w:rFonts w:ascii="Calibri" w:hAnsi="Calibri"/>
          <w:color w:val="FF0000"/>
        </w:rPr>
        <w:t xml:space="preserve"> </w:t>
      </w:r>
    </w:p>
    <w:p w:rsidR="004A72B7" w:rsidRPr="004A72B7" w:rsidRDefault="004A72B7" w:rsidP="0055711A">
      <w:pPr>
        <w:rPr>
          <w:rFonts w:ascii="Calibri" w:hAnsi="Calibri"/>
        </w:rPr>
      </w:pPr>
      <w:r>
        <w:rPr>
          <w:rFonts w:ascii="Calibri" w:hAnsi="Calibri"/>
        </w:rPr>
        <w:t xml:space="preserve">When following up on the skew attendance graph (blue), which </w:t>
      </w:r>
      <w:proofErr w:type="gramStart"/>
      <w:r>
        <w:rPr>
          <w:rFonts w:ascii="Calibri" w:hAnsi="Calibri"/>
        </w:rPr>
        <w:t>is based</w:t>
      </w:r>
      <w:proofErr w:type="gramEnd"/>
      <w:r>
        <w:rPr>
          <w:rFonts w:ascii="Calibri" w:hAnsi="Calibri"/>
        </w:rPr>
        <w:t xml:space="preserve"> on attendance information collected by our monitors during spot checks, it became evident that hardly any attendance information punched by Admin matched with our observation. Possible explanations might be that DFs conduct attendance checks at the end of repayments, </w:t>
      </w:r>
      <w:r w:rsidR="00545A5B">
        <w:rPr>
          <w:rFonts w:ascii="Calibri" w:hAnsi="Calibri"/>
        </w:rPr>
        <w:t xml:space="preserve">or they mark Representatives differently or Admin makes mistakes while capturing the data. However, some of the data showed such a huge discrepancy that there must be another explanation. </w:t>
      </w:r>
    </w:p>
    <w:p w:rsidR="00C961E5" w:rsidRDefault="00545A5B" w:rsidP="0055711A">
      <w:pPr>
        <w:rPr>
          <w:rFonts w:ascii="Calibri" w:hAnsi="Calibri"/>
        </w:rPr>
      </w:pPr>
      <w:r>
        <w:rPr>
          <w:rFonts w:ascii="Calibri" w:hAnsi="Calibri"/>
        </w:rPr>
        <w:t xml:space="preserve">Besides this, </w:t>
      </w:r>
      <w:r w:rsidR="00D942F1">
        <w:rPr>
          <w:rFonts w:ascii="Calibri" w:hAnsi="Calibri"/>
        </w:rPr>
        <w:t>an</w:t>
      </w:r>
      <w:r w:rsidR="00C961E5">
        <w:rPr>
          <w:rFonts w:ascii="Calibri" w:hAnsi="Calibri"/>
        </w:rPr>
        <w:t xml:space="preserve"> </w:t>
      </w:r>
      <w:r w:rsidR="00BB1C1E">
        <w:rPr>
          <w:rFonts w:ascii="Calibri" w:hAnsi="Calibri"/>
        </w:rPr>
        <w:t>area</w:t>
      </w:r>
      <w:r w:rsidR="00C961E5">
        <w:rPr>
          <w:rFonts w:ascii="Calibri" w:hAnsi="Calibri"/>
        </w:rPr>
        <w:t xml:space="preserve"> we still need to focus on </w:t>
      </w:r>
      <w:r>
        <w:rPr>
          <w:rFonts w:ascii="Calibri" w:hAnsi="Calibri"/>
        </w:rPr>
        <w:t>for</w:t>
      </w:r>
      <w:r w:rsidR="00C961E5">
        <w:rPr>
          <w:rFonts w:ascii="Calibri" w:hAnsi="Calibri"/>
        </w:rPr>
        <w:t xml:space="preserve"> our final evaluation is the problem of TLCs not </w:t>
      </w:r>
      <w:proofErr w:type="gramStart"/>
      <w:r w:rsidR="00C961E5">
        <w:rPr>
          <w:rFonts w:ascii="Calibri" w:hAnsi="Calibri"/>
        </w:rPr>
        <w:t>being properly delivered</w:t>
      </w:r>
      <w:proofErr w:type="gramEnd"/>
      <w:r w:rsidR="00C961E5">
        <w:rPr>
          <w:rFonts w:ascii="Calibri" w:hAnsi="Calibri"/>
        </w:rPr>
        <w:t xml:space="preserve"> due to poor attendance during centre meetings and therefore clients not receiving the full training. </w:t>
      </w:r>
    </w:p>
    <w:p w:rsidR="00D942F1" w:rsidRPr="00D942F1" w:rsidRDefault="00D942F1" w:rsidP="0055711A">
      <w:pPr>
        <w:rPr>
          <w:rFonts w:ascii="Calibri" w:hAnsi="Calibri"/>
          <w:i/>
          <w:u w:val="single"/>
        </w:rPr>
      </w:pPr>
      <w:r w:rsidRPr="00D942F1">
        <w:rPr>
          <w:rFonts w:ascii="Calibri" w:hAnsi="Calibri"/>
          <w:i/>
          <w:u w:val="single"/>
        </w:rPr>
        <w:t>Drop out</w:t>
      </w:r>
    </w:p>
    <w:p w:rsidR="00D942F1" w:rsidRPr="00D942F1" w:rsidRDefault="00D942F1" w:rsidP="0055711A">
      <w:pPr>
        <w:rPr>
          <w:rFonts w:ascii="Calibri" w:hAnsi="Calibri"/>
          <w:b/>
        </w:rPr>
      </w:pPr>
      <w:r w:rsidRPr="00D942F1">
        <w:rPr>
          <w:rFonts w:ascii="Calibri" w:hAnsi="Calibri"/>
          <w:b/>
        </w:rPr>
        <w:t>Table 2: Drop out Burgersfort</w:t>
      </w:r>
    </w:p>
    <w:p w:rsidR="00D942F1" w:rsidRDefault="000C3F44" w:rsidP="0055711A">
      <w:pPr>
        <w:rPr>
          <w:rFonts w:ascii="Calibri" w:hAnsi="Calibri"/>
        </w:rPr>
      </w:pPr>
      <w:r w:rsidRPr="000C3F44">
        <w:rPr>
          <w:rFonts w:ascii="Calibri" w:hAnsi="Calibri"/>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3F44" w:rsidRDefault="00D942F1" w:rsidP="0055711A">
      <w:pPr>
        <w:rPr>
          <w:rFonts w:ascii="Calibri" w:hAnsi="Calibri"/>
        </w:rPr>
      </w:pPr>
      <w:r>
        <w:rPr>
          <w:rFonts w:ascii="Calibri" w:hAnsi="Calibri"/>
        </w:rPr>
        <w:t xml:space="preserve">Table 2 </w:t>
      </w:r>
      <w:r w:rsidR="000C3F44">
        <w:rPr>
          <w:rFonts w:ascii="Calibri" w:hAnsi="Calibri"/>
        </w:rPr>
        <w:t>and 3 outline</w:t>
      </w:r>
      <w:r>
        <w:rPr>
          <w:rFonts w:ascii="Calibri" w:hAnsi="Calibri"/>
        </w:rPr>
        <w:t xml:space="preserve"> the </w:t>
      </w:r>
      <w:r w:rsidR="000C3F44">
        <w:rPr>
          <w:rFonts w:ascii="Calibri" w:hAnsi="Calibri"/>
        </w:rPr>
        <w:t>dropout</w:t>
      </w:r>
      <w:r>
        <w:rPr>
          <w:rFonts w:ascii="Calibri" w:hAnsi="Calibri"/>
        </w:rPr>
        <w:t xml:space="preserve"> rate</w:t>
      </w:r>
      <w:r w:rsidR="000C3F44">
        <w:rPr>
          <w:rFonts w:ascii="Calibri" w:hAnsi="Calibri"/>
        </w:rPr>
        <w:t>s</w:t>
      </w:r>
      <w:r>
        <w:rPr>
          <w:rFonts w:ascii="Calibri" w:hAnsi="Calibri"/>
        </w:rPr>
        <w:t xml:space="preserve"> </w:t>
      </w:r>
      <w:r w:rsidR="000C3F44">
        <w:rPr>
          <w:rFonts w:ascii="Calibri" w:hAnsi="Calibri"/>
        </w:rPr>
        <w:t>for</w:t>
      </w:r>
      <w:r>
        <w:rPr>
          <w:rFonts w:ascii="Calibri" w:hAnsi="Calibri"/>
        </w:rPr>
        <w:t xml:space="preserve"> Burgersfort </w:t>
      </w:r>
      <w:r w:rsidR="000C3F44">
        <w:rPr>
          <w:rFonts w:ascii="Calibri" w:hAnsi="Calibri"/>
        </w:rPr>
        <w:t xml:space="preserve">and </w:t>
      </w:r>
      <w:proofErr w:type="spellStart"/>
      <w:r w:rsidR="000C3F44">
        <w:rPr>
          <w:rFonts w:ascii="Calibri" w:hAnsi="Calibri"/>
        </w:rPr>
        <w:t>Trichardsdal</w:t>
      </w:r>
      <w:proofErr w:type="spellEnd"/>
      <w:r>
        <w:rPr>
          <w:rFonts w:ascii="Calibri" w:hAnsi="Calibri"/>
        </w:rPr>
        <w:t xml:space="preserve"> from May 2011 and compares the data with the previous year. </w:t>
      </w:r>
      <w:r w:rsidR="000C3F44">
        <w:rPr>
          <w:rFonts w:ascii="Calibri" w:hAnsi="Calibri"/>
        </w:rPr>
        <w:t xml:space="preserve">So </w:t>
      </w:r>
      <w:proofErr w:type="gramStart"/>
      <w:r w:rsidR="000C3F44">
        <w:rPr>
          <w:rFonts w:ascii="Calibri" w:hAnsi="Calibri"/>
        </w:rPr>
        <w:t>far</w:t>
      </w:r>
      <w:proofErr w:type="gramEnd"/>
      <w:r w:rsidR="000C3F44">
        <w:rPr>
          <w:rFonts w:ascii="Calibri" w:hAnsi="Calibri"/>
        </w:rPr>
        <w:t xml:space="preserve"> Burgersfort is showing consistency between the D/O of 2010 and 2011, whereas </w:t>
      </w:r>
      <w:proofErr w:type="spellStart"/>
      <w:r w:rsidR="000C3F44">
        <w:rPr>
          <w:rFonts w:ascii="Calibri" w:hAnsi="Calibri"/>
        </w:rPr>
        <w:t>Tdal</w:t>
      </w:r>
      <w:proofErr w:type="spellEnd"/>
      <w:r w:rsidR="000C3F44">
        <w:rPr>
          <w:rFonts w:ascii="Calibri" w:hAnsi="Calibri"/>
        </w:rPr>
        <w:t xml:space="preserve"> shows an constant decrease in its D/O since the inception of the pilot. However, since only data up until July 2011 is available, it is too early to make conclusions at this stage of the pilot. </w:t>
      </w:r>
    </w:p>
    <w:p w:rsidR="00D942F1" w:rsidRPr="00D942F1" w:rsidRDefault="00D942F1" w:rsidP="0055711A">
      <w:pPr>
        <w:rPr>
          <w:rFonts w:ascii="Calibri" w:hAnsi="Calibri"/>
          <w:b/>
        </w:rPr>
      </w:pPr>
      <w:r w:rsidRPr="00D942F1">
        <w:rPr>
          <w:rFonts w:ascii="Calibri" w:hAnsi="Calibri"/>
          <w:b/>
        </w:rPr>
        <w:t xml:space="preserve">Table 3: Drop out </w:t>
      </w:r>
      <w:proofErr w:type="spellStart"/>
      <w:r w:rsidRPr="00D942F1">
        <w:rPr>
          <w:rFonts w:ascii="Calibri" w:hAnsi="Calibri"/>
          <w:b/>
        </w:rPr>
        <w:t>Trichardsdal</w:t>
      </w:r>
      <w:proofErr w:type="spellEnd"/>
    </w:p>
    <w:p w:rsidR="00D942F1" w:rsidRDefault="000C3F44" w:rsidP="0055711A">
      <w:pPr>
        <w:rPr>
          <w:rFonts w:ascii="Calibri" w:hAnsi="Calibri"/>
        </w:rPr>
      </w:pPr>
      <w:r w:rsidRPr="000C3F44">
        <w:rPr>
          <w:rFonts w:ascii="Calibri" w:hAnsi="Calibri"/>
        </w:rPr>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42F1" w:rsidRDefault="00D942F1" w:rsidP="0055711A">
      <w:pPr>
        <w:rPr>
          <w:rFonts w:ascii="Calibri" w:hAnsi="Calibri"/>
        </w:rPr>
      </w:pPr>
    </w:p>
    <w:p w:rsidR="000C33D1" w:rsidRPr="00E20423" w:rsidRDefault="00AE5CEE" w:rsidP="0055711A">
      <w:pPr>
        <w:rPr>
          <w:rFonts w:ascii="Calibri" w:hAnsi="Calibri"/>
          <w:color w:val="FF0000"/>
        </w:rPr>
      </w:pPr>
      <w:r>
        <w:rPr>
          <w:rFonts w:ascii="Calibri" w:hAnsi="Calibri"/>
        </w:rPr>
        <w:t xml:space="preserve"> </w:t>
      </w:r>
      <w:r w:rsidR="000C33D1" w:rsidRPr="007F2C50">
        <w:rPr>
          <w:rFonts w:ascii="Calibri" w:hAnsi="Calibri"/>
          <w:b/>
          <w:i/>
          <w:u w:val="single"/>
        </w:rPr>
        <w:t xml:space="preserve">Objective 2: Can DFs </w:t>
      </w:r>
      <w:r w:rsidR="00F233B8" w:rsidRPr="007F2C50">
        <w:rPr>
          <w:rFonts w:ascii="Calibri" w:hAnsi="Calibri"/>
          <w:b/>
          <w:i/>
          <w:u w:val="single"/>
        </w:rPr>
        <w:t>deliver constantly good quality TLC?</w:t>
      </w:r>
    </w:p>
    <w:p w:rsidR="00F233B8" w:rsidRDefault="00F233B8" w:rsidP="0055711A">
      <w:pPr>
        <w:rPr>
          <w:rFonts w:ascii="Calibri" w:hAnsi="Calibri"/>
        </w:rPr>
      </w:pPr>
      <w:r>
        <w:rPr>
          <w:rFonts w:ascii="Calibri" w:hAnsi="Calibri"/>
        </w:rPr>
        <w:t xml:space="preserve">The 12 original trained DFs showed constant improvement in their TLC delivery. Some </w:t>
      </w:r>
      <w:r w:rsidR="0065652C">
        <w:rPr>
          <w:rFonts w:ascii="Calibri" w:hAnsi="Calibri"/>
        </w:rPr>
        <w:t xml:space="preserve">even </w:t>
      </w:r>
      <w:r>
        <w:rPr>
          <w:rFonts w:ascii="Calibri" w:hAnsi="Calibri"/>
        </w:rPr>
        <w:t xml:space="preserve">showed constant good performance since the beginning of the pilot, others improved on their </w:t>
      </w:r>
      <w:r w:rsidR="00507904">
        <w:rPr>
          <w:rFonts w:ascii="Calibri" w:hAnsi="Calibri"/>
        </w:rPr>
        <w:t xml:space="preserve">initial </w:t>
      </w:r>
      <w:r>
        <w:rPr>
          <w:rFonts w:ascii="Calibri" w:hAnsi="Calibri"/>
        </w:rPr>
        <w:t xml:space="preserve">weaknesses. The </w:t>
      </w:r>
      <w:proofErr w:type="gramStart"/>
      <w:r>
        <w:rPr>
          <w:rFonts w:ascii="Calibri" w:hAnsi="Calibri"/>
        </w:rPr>
        <w:t>3</w:t>
      </w:r>
      <w:proofErr w:type="gramEnd"/>
      <w:r>
        <w:rPr>
          <w:rFonts w:ascii="Calibri" w:hAnsi="Calibri"/>
        </w:rPr>
        <w:t xml:space="preserve"> DFs that were trained later, </w:t>
      </w:r>
      <w:r w:rsidR="00507904">
        <w:rPr>
          <w:rFonts w:ascii="Calibri" w:hAnsi="Calibri"/>
        </w:rPr>
        <w:t>did</w:t>
      </w:r>
      <w:r>
        <w:rPr>
          <w:rFonts w:ascii="Calibri" w:hAnsi="Calibri"/>
        </w:rPr>
        <w:t xml:space="preserve"> not show any difference regarding their performance </w:t>
      </w:r>
      <w:r w:rsidR="002924B9">
        <w:rPr>
          <w:rFonts w:ascii="Calibri" w:hAnsi="Calibri"/>
        </w:rPr>
        <w:t>compared to</w:t>
      </w:r>
      <w:r>
        <w:rPr>
          <w:rFonts w:ascii="Calibri" w:hAnsi="Calibri"/>
        </w:rPr>
        <w:t xml:space="preserve"> the batch that was originally trained. All of them are doing </w:t>
      </w:r>
      <w:r w:rsidR="00982293">
        <w:rPr>
          <w:rFonts w:ascii="Calibri" w:hAnsi="Calibri"/>
        </w:rPr>
        <w:t>an</w:t>
      </w:r>
      <w:r>
        <w:rPr>
          <w:rFonts w:ascii="Calibri" w:hAnsi="Calibri"/>
        </w:rPr>
        <w:t xml:space="preserve"> </w:t>
      </w:r>
      <w:r w:rsidR="005A77FE">
        <w:rPr>
          <w:rFonts w:ascii="Calibri" w:hAnsi="Calibri"/>
        </w:rPr>
        <w:t>excellent</w:t>
      </w:r>
      <w:r>
        <w:rPr>
          <w:rFonts w:ascii="Calibri" w:hAnsi="Calibri"/>
        </w:rPr>
        <w:t xml:space="preserve"> job </w:t>
      </w:r>
      <w:r>
        <w:rPr>
          <w:rFonts w:ascii="Calibri" w:hAnsi="Calibri"/>
        </w:rPr>
        <w:lastRenderedPageBreak/>
        <w:t xml:space="preserve">with clients seemingly enjoying each session. Good and poor performers with regard to operational targets are showing a good or even excellent performance on TLCs. </w:t>
      </w:r>
    </w:p>
    <w:p w:rsidR="0065652C" w:rsidRPr="0065652C" w:rsidRDefault="00982293" w:rsidP="0055711A">
      <w:pPr>
        <w:rPr>
          <w:rFonts w:ascii="Calibri" w:hAnsi="Calibri"/>
          <w:b/>
        </w:rPr>
      </w:pPr>
      <w:r>
        <w:rPr>
          <w:rFonts w:ascii="Calibri" w:hAnsi="Calibri"/>
          <w:b/>
        </w:rPr>
        <w:t>Table 4</w:t>
      </w:r>
      <w:r w:rsidR="0065652C" w:rsidRPr="0065652C">
        <w:rPr>
          <w:rFonts w:ascii="Calibri" w:hAnsi="Calibri"/>
          <w:b/>
        </w:rPr>
        <w:t>: Quality of sessions</w:t>
      </w:r>
    </w:p>
    <w:tbl>
      <w:tblPr>
        <w:tblW w:w="7740" w:type="dxa"/>
        <w:tblInd w:w="108" w:type="dxa"/>
        <w:tblLook w:val="04A0"/>
      </w:tblPr>
      <w:tblGrid>
        <w:gridCol w:w="3836"/>
        <w:gridCol w:w="976"/>
        <w:gridCol w:w="976"/>
        <w:gridCol w:w="976"/>
        <w:gridCol w:w="976"/>
      </w:tblGrid>
      <w:tr w:rsidR="00982293" w:rsidRPr="00982293" w:rsidTr="00982293">
        <w:trPr>
          <w:trHeight w:val="300"/>
        </w:trPr>
        <w:tc>
          <w:tcPr>
            <w:tcW w:w="383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rPr>
                <w:rFonts w:ascii="Calibri" w:eastAsia="Times New Roman" w:hAnsi="Calibri" w:cs="Times New Roman"/>
                <w:b/>
                <w:bCs/>
                <w:color w:val="000000"/>
                <w:lang w:eastAsia="en-ZA"/>
              </w:rPr>
            </w:pPr>
            <w:r w:rsidRPr="00982293">
              <w:rPr>
                <w:rFonts w:ascii="Calibri" w:eastAsia="Times New Roman" w:hAnsi="Calibri" w:cs="Times New Roman"/>
                <w:b/>
                <w:bCs/>
                <w:color w:val="000000"/>
                <w:lang w:eastAsia="en-ZA"/>
              </w:rPr>
              <w:t>Quality of sessions</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b/>
                <w:bCs/>
                <w:color w:val="000000"/>
                <w:lang w:eastAsia="en-ZA"/>
              </w:rPr>
            </w:pPr>
            <w:r w:rsidRPr="00982293">
              <w:rPr>
                <w:rFonts w:ascii="Calibri" w:eastAsia="Times New Roman" w:hAnsi="Calibri" w:cs="Times New Roman"/>
                <w:b/>
                <w:bCs/>
                <w:color w:val="000000"/>
                <w:lang w:eastAsia="en-ZA"/>
              </w:rPr>
              <w:t>May-11</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b/>
                <w:bCs/>
                <w:color w:val="000000"/>
                <w:lang w:eastAsia="en-ZA"/>
              </w:rPr>
            </w:pPr>
            <w:r w:rsidRPr="00982293">
              <w:rPr>
                <w:rFonts w:ascii="Calibri" w:eastAsia="Times New Roman" w:hAnsi="Calibri" w:cs="Times New Roman"/>
                <w:b/>
                <w:bCs/>
                <w:color w:val="000000"/>
                <w:lang w:eastAsia="en-ZA"/>
              </w:rPr>
              <w:t>Jun-11</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b/>
                <w:bCs/>
                <w:color w:val="000000"/>
                <w:lang w:eastAsia="en-ZA"/>
              </w:rPr>
            </w:pPr>
            <w:r w:rsidRPr="00982293">
              <w:rPr>
                <w:rFonts w:ascii="Calibri" w:eastAsia="Times New Roman" w:hAnsi="Calibri" w:cs="Times New Roman"/>
                <w:b/>
                <w:bCs/>
                <w:color w:val="000000"/>
                <w:lang w:eastAsia="en-ZA"/>
              </w:rPr>
              <w:t>Jul-11</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b/>
                <w:bCs/>
                <w:color w:val="000000"/>
                <w:lang w:eastAsia="en-ZA"/>
              </w:rPr>
            </w:pPr>
            <w:r w:rsidRPr="00982293">
              <w:rPr>
                <w:rFonts w:ascii="Calibri" w:eastAsia="Times New Roman" w:hAnsi="Calibri" w:cs="Times New Roman"/>
                <w:b/>
                <w:bCs/>
                <w:color w:val="000000"/>
                <w:lang w:eastAsia="en-ZA"/>
              </w:rPr>
              <w:t>Aug-11</w:t>
            </w:r>
          </w:p>
        </w:tc>
      </w:tr>
      <w:tr w:rsidR="00982293" w:rsidRPr="00982293" w:rsidTr="00982293">
        <w:trPr>
          <w:trHeight w:val="330"/>
        </w:trPr>
        <w:tc>
          <w:tcPr>
            <w:tcW w:w="3836" w:type="dxa"/>
            <w:tcBorders>
              <w:top w:val="nil"/>
              <w:left w:val="nil"/>
              <w:bottom w:val="nil"/>
              <w:right w:val="nil"/>
            </w:tcBorders>
            <w:shd w:val="clear" w:color="auto" w:fill="auto"/>
            <w:vAlign w:val="bottom"/>
            <w:hideMark/>
          </w:tcPr>
          <w:p w:rsidR="00982293" w:rsidRPr="00982293" w:rsidRDefault="00982293" w:rsidP="00982293">
            <w:pPr>
              <w:spacing w:after="0" w:line="240" w:lineRule="auto"/>
              <w:rPr>
                <w:rFonts w:ascii="Calibri" w:eastAsia="Times New Roman" w:hAnsi="Calibri" w:cs="Times New Roman"/>
                <w:b/>
                <w:bCs/>
                <w:color w:val="000000"/>
                <w:lang w:eastAsia="en-ZA"/>
              </w:rPr>
            </w:pPr>
            <w:r w:rsidRPr="00982293">
              <w:rPr>
                <w:rFonts w:ascii="Calibri" w:eastAsia="Times New Roman" w:hAnsi="Calibri" w:cs="Times New Roman"/>
                <w:b/>
                <w:bCs/>
                <w:color w:val="000000"/>
                <w:lang w:eastAsia="en-ZA"/>
              </w:rPr>
              <w:t>Session preparation and management</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Arial" w:eastAsia="Times New Roman" w:hAnsi="Arial" w:cs="Arial"/>
                <w:sz w:val="20"/>
                <w:szCs w:val="20"/>
                <w:lang w:eastAsia="en-ZA"/>
              </w:rPr>
            </w:pPr>
            <w:r w:rsidRPr="00982293">
              <w:rPr>
                <w:rFonts w:ascii="Arial" w:eastAsia="Times New Roman" w:hAnsi="Arial" w:cs="Arial"/>
                <w:sz w:val="20"/>
                <w:szCs w:val="20"/>
                <w:lang w:eastAsia="en-ZA"/>
              </w:rPr>
              <w:t>87%</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Arial" w:eastAsia="Times New Roman" w:hAnsi="Arial" w:cs="Arial"/>
                <w:sz w:val="20"/>
                <w:szCs w:val="20"/>
                <w:lang w:eastAsia="en-ZA"/>
              </w:rPr>
            </w:pPr>
            <w:r w:rsidRPr="00982293">
              <w:rPr>
                <w:rFonts w:ascii="Arial" w:eastAsia="Times New Roman" w:hAnsi="Arial" w:cs="Arial"/>
                <w:sz w:val="20"/>
                <w:szCs w:val="20"/>
                <w:lang w:eastAsia="en-ZA"/>
              </w:rPr>
              <w:t>84%</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Arial" w:eastAsia="Times New Roman" w:hAnsi="Arial" w:cs="Arial"/>
                <w:sz w:val="20"/>
                <w:szCs w:val="20"/>
                <w:lang w:eastAsia="en-ZA"/>
              </w:rPr>
            </w:pPr>
            <w:r w:rsidRPr="00982293">
              <w:rPr>
                <w:rFonts w:ascii="Arial" w:eastAsia="Times New Roman" w:hAnsi="Arial" w:cs="Arial"/>
                <w:sz w:val="20"/>
                <w:szCs w:val="20"/>
                <w:lang w:eastAsia="en-ZA"/>
              </w:rPr>
              <w:t>86%</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Arial" w:eastAsia="Times New Roman" w:hAnsi="Arial" w:cs="Arial"/>
                <w:sz w:val="20"/>
                <w:szCs w:val="20"/>
                <w:lang w:eastAsia="en-ZA"/>
              </w:rPr>
            </w:pPr>
            <w:r w:rsidRPr="00982293">
              <w:rPr>
                <w:rFonts w:ascii="Arial" w:eastAsia="Times New Roman" w:hAnsi="Arial" w:cs="Arial"/>
                <w:sz w:val="20"/>
                <w:szCs w:val="20"/>
                <w:lang w:eastAsia="en-ZA"/>
              </w:rPr>
              <w:t>91%</w:t>
            </w:r>
          </w:p>
        </w:tc>
      </w:tr>
      <w:tr w:rsidR="00982293" w:rsidRPr="00982293" w:rsidTr="00982293">
        <w:trPr>
          <w:trHeight w:val="300"/>
        </w:trPr>
        <w:tc>
          <w:tcPr>
            <w:tcW w:w="383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rPr>
                <w:rFonts w:ascii="Calibri" w:eastAsia="Times New Roman" w:hAnsi="Calibri" w:cs="Times New Roman"/>
                <w:b/>
                <w:bCs/>
                <w:color w:val="000000"/>
                <w:lang w:eastAsia="en-ZA"/>
              </w:rPr>
            </w:pPr>
            <w:r w:rsidRPr="00982293">
              <w:rPr>
                <w:rFonts w:ascii="Calibri" w:eastAsia="Times New Roman" w:hAnsi="Calibri" w:cs="Times New Roman"/>
                <w:b/>
                <w:bCs/>
                <w:color w:val="000000"/>
                <w:lang w:eastAsia="en-ZA"/>
              </w:rPr>
              <w:t>Technical content</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FF0000"/>
                <w:lang w:eastAsia="en-ZA"/>
              </w:rPr>
            </w:pPr>
            <w:r w:rsidRPr="00982293">
              <w:rPr>
                <w:rFonts w:ascii="Calibri" w:eastAsia="Times New Roman" w:hAnsi="Calibri" w:cs="Times New Roman"/>
                <w:color w:val="FF0000"/>
                <w:lang w:eastAsia="en-ZA"/>
              </w:rPr>
              <w:t>68%</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79%</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FF0000"/>
                <w:lang w:eastAsia="en-ZA"/>
              </w:rPr>
            </w:pPr>
            <w:r w:rsidRPr="00982293">
              <w:rPr>
                <w:rFonts w:ascii="Calibri" w:eastAsia="Times New Roman" w:hAnsi="Calibri" w:cs="Times New Roman"/>
                <w:color w:val="FF0000"/>
                <w:lang w:eastAsia="en-ZA"/>
              </w:rPr>
              <w:t>67%</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80%</w:t>
            </w:r>
          </w:p>
        </w:tc>
      </w:tr>
      <w:tr w:rsidR="00982293" w:rsidRPr="00982293" w:rsidTr="00982293">
        <w:trPr>
          <w:trHeight w:val="300"/>
        </w:trPr>
        <w:tc>
          <w:tcPr>
            <w:tcW w:w="383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rPr>
                <w:rFonts w:ascii="Calibri" w:eastAsia="Times New Roman" w:hAnsi="Calibri" w:cs="Times New Roman"/>
                <w:b/>
                <w:bCs/>
                <w:color w:val="000000"/>
                <w:lang w:eastAsia="en-ZA"/>
              </w:rPr>
            </w:pPr>
            <w:r w:rsidRPr="00982293">
              <w:rPr>
                <w:rFonts w:ascii="Calibri" w:eastAsia="Times New Roman" w:hAnsi="Calibri" w:cs="Times New Roman"/>
                <w:b/>
                <w:bCs/>
                <w:color w:val="000000"/>
                <w:lang w:eastAsia="en-ZA"/>
              </w:rPr>
              <w:t>Presentation skills</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90%</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93%</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98%</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90%</w:t>
            </w:r>
          </w:p>
        </w:tc>
      </w:tr>
      <w:tr w:rsidR="00982293" w:rsidRPr="00982293" w:rsidTr="00982293">
        <w:trPr>
          <w:trHeight w:val="300"/>
        </w:trPr>
        <w:tc>
          <w:tcPr>
            <w:tcW w:w="383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rPr>
                <w:rFonts w:ascii="Calibri" w:eastAsia="Times New Roman" w:hAnsi="Calibri" w:cs="Times New Roman"/>
                <w:b/>
                <w:bCs/>
                <w:color w:val="000000"/>
                <w:lang w:eastAsia="en-ZA"/>
              </w:rPr>
            </w:pPr>
            <w:r w:rsidRPr="00982293">
              <w:rPr>
                <w:rFonts w:ascii="Calibri" w:eastAsia="Times New Roman" w:hAnsi="Calibri" w:cs="Times New Roman"/>
                <w:b/>
                <w:bCs/>
                <w:color w:val="000000"/>
                <w:lang w:eastAsia="en-ZA"/>
              </w:rPr>
              <w:t>Facilitation skills</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87%</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89%</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82%</w:t>
            </w:r>
          </w:p>
        </w:tc>
        <w:tc>
          <w:tcPr>
            <w:tcW w:w="976" w:type="dxa"/>
            <w:tcBorders>
              <w:top w:val="nil"/>
              <w:left w:val="nil"/>
              <w:bottom w:val="nil"/>
              <w:right w:val="nil"/>
            </w:tcBorders>
            <w:shd w:val="clear" w:color="auto" w:fill="auto"/>
            <w:noWrap/>
            <w:vAlign w:val="bottom"/>
            <w:hideMark/>
          </w:tcPr>
          <w:p w:rsidR="00982293" w:rsidRPr="00982293" w:rsidRDefault="00982293" w:rsidP="00982293">
            <w:pPr>
              <w:spacing w:after="0" w:line="240" w:lineRule="auto"/>
              <w:jc w:val="right"/>
              <w:rPr>
                <w:rFonts w:ascii="Calibri" w:eastAsia="Times New Roman" w:hAnsi="Calibri" w:cs="Times New Roman"/>
                <w:color w:val="000000"/>
                <w:lang w:eastAsia="en-ZA"/>
              </w:rPr>
            </w:pPr>
            <w:r w:rsidRPr="00982293">
              <w:rPr>
                <w:rFonts w:ascii="Calibri" w:eastAsia="Times New Roman" w:hAnsi="Calibri" w:cs="Times New Roman"/>
                <w:color w:val="000000"/>
                <w:lang w:eastAsia="en-ZA"/>
              </w:rPr>
              <w:t>84%</w:t>
            </w:r>
          </w:p>
        </w:tc>
      </w:tr>
    </w:tbl>
    <w:p w:rsidR="000B4084" w:rsidRDefault="000B4084" w:rsidP="0055711A">
      <w:pPr>
        <w:rPr>
          <w:rFonts w:ascii="Calibri" w:hAnsi="Calibri"/>
        </w:rPr>
      </w:pPr>
    </w:p>
    <w:p w:rsidR="0065652C" w:rsidRDefault="0065652C" w:rsidP="0055711A">
      <w:pPr>
        <w:rPr>
          <w:rFonts w:ascii="Calibri" w:hAnsi="Calibri"/>
        </w:rPr>
      </w:pPr>
      <w:r>
        <w:rPr>
          <w:rFonts w:ascii="Calibri" w:hAnsi="Calibri"/>
        </w:rPr>
        <w:t xml:space="preserve">If </w:t>
      </w:r>
      <w:r w:rsidR="00982293">
        <w:rPr>
          <w:rFonts w:ascii="Calibri" w:hAnsi="Calibri"/>
        </w:rPr>
        <w:t>we take a closer look at table 4</w:t>
      </w:r>
      <w:r>
        <w:rPr>
          <w:rFonts w:ascii="Calibri" w:hAnsi="Calibri"/>
        </w:rPr>
        <w:t xml:space="preserve">, which outlines the data that </w:t>
      </w:r>
      <w:proofErr w:type="gramStart"/>
      <w:r>
        <w:rPr>
          <w:rFonts w:ascii="Calibri" w:hAnsi="Calibri"/>
        </w:rPr>
        <w:t>was collected</w:t>
      </w:r>
      <w:proofErr w:type="gramEnd"/>
      <w:r>
        <w:rPr>
          <w:rFonts w:ascii="Calibri" w:hAnsi="Calibri"/>
        </w:rPr>
        <w:t xml:space="preserve"> by monitors using the </w:t>
      </w:r>
      <w:r w:rsidR="00C961E5">
        <w:rPr>
          <w:rFonts w:ascii="Calibri" w:hAnsi="Calibri"/>
        </w:rPr>
        <w:t>observation</w:t>
      </w:r>
      <w:r>
        <w:rPr>
          <w:rFonts w:ascii="Calibri" w:hAnsi="Calibri"/>
        </w:rPr>
        <w:t xml:space="preserve"> checklists</w:t>
      </w:r>
      <w:r w:rsidR="00CC6D54">
        <w:rPr>
          <w:rFonts w:ascii="Calibri" w:hAnsi="Calibri"/>
        </w:rPr>
        <w:t xml:space="preserve">, it proves our </w:t>
      </w:r>
      <w:r w:rsidR="00C961E5">
        <w:rPr>
          <w:rFonts w:ascii="Calibri" w:hAnsi="Calibri"/>
        </w:rPr>
        <w:t>initial</w:t>
      </w:r>
      <w:r w:rsidR="00CC6D54">
        <w:rPr>
          <w:rFonts w:ascii="Calibri" w:hAnsi="Calibri"/>
        </w:rPr>
        <w:t xml:space="preserve"> impression. DFs constantly improved on “session preparation and management”, as well as their “Presentation and Facilitation skills”. In terms of the technical content, DFs had </w:t>
      </w:r>
      <w:r w:rsidR="00E31418">
        <w:rPr>
          <w:rFonts w:ascii="Calibri" w:hAnsi="Calibri"/>
        </w:rPr>
        <w:t>an</w:t>
      </w:r>
      <w:r w:rsidR="00821375">
        <w:rPr>
          <w:rFonts w:ascii="Calibri" w:hAnsi="Calibri"/>
        </w:rPr>
        <w:t xml:space="preserve"> initial low of 68</w:t>
      </w:r>
      <w:r w:rsidR="00CC6D54">
        <w:rPr>
          <w:rFonts w:ascii="Calibri" w:hAnsi="Calibri"/>
        </w:rPr>
        <w:t>% during the first session in May, probably because of still adapting to the new format and getting used to the delivery.</w:t>
      </w:r>
      <w:r w:rsidR="00821375">
        <w:rPr>
          <w:rFonts w:ascii="Calibri" w:hAnsi="Calibri"/>
        </w:rPr>
        <w:t xml:space="preserve"> This low improved in June to 79</w:t>
      </w:r>
      <w:r w:rsidR="00CC6D54">
        <w:rPr>
          <w:rFonts w:ascii="Calibri" w:hAnsi="Calibri"/>
        </w:rPr>
        <w:t xml:space="preserve">%, followed by another low in July, since this session (session 3) was particularly difficult and not well designed. However, PRIDE and </w:t>
      </w:r>
      <w:r w:rsidR="000B4084">
        <w:rPr>
          <w:rFonts w:ascii="Calibri" w:hAnsi="Calibri"/>
        </w:rPr>
        <w:t xml:space="preserve">pilot staff </w:t>
      </w:r>
      <w:r w:rsidR="00CC6D54">
        <w:rPr>
          <w:rFonts w:ascii="Calibri" w:hAnsi="Calibri"/>
        </w:rPr>
        <w:t xml:space="preserve">addressed this issue and re-designed session 3, tested it out and it works now much better. </w:t>
      </w:r>
      <w:r w:rsidR="00BB1C1E">
        <w:rPr>
          <w:rFonts w:ascii="Calibri" w:hAnsi="Calibri"/>
        </w:rPr>
        <w:t xml:space="preserve">This </w:t>
      </w:r>
      <w:proofErr w:type="gramStart"/>
      <w:r w:rsidR="00BB1C1E">
        <w:rPr>
          <w:rFonts w:ascii="Calibri" w:hAnsi="Calibri"/>
        </w:rPr>
        <w:t>i</w:t>
      </w:r>
      <w:r w:rsidR="00821375">
        <w:rPr>
          <w:rFonts w:ascii="Calibri" w:hAnsi="Calibri"/>
        </w:rPr>
        <w:t>s followed</w:t>
      </w:r>
      <w:proofErr w:type="gramEnd"/>
      <w:r w:rsidR="00821375">
        <w:rPr>
          <w:rFonts w:ascii="Calibri" w:hAnsi="Calibri"/>
        </w:rPr>
        <w:t xml:space="preserve"> by another high of 80</w:t>
      </w:r>
      <w:r w:rsidR="00BB1C1E">
        <w:rPr>
          <w:rFonts w:ascii="Calibri" w:hAnsi="Calibri"/>
        </w:rPr>
        <w:t xml:space="preserve">% for session 4 (August). </w:t>
      </w:r>
    </w:p>
    <w:p w:rsidR="000B4084" w:rsidRDefault="00C961E5" w:rsidP="0055711A">
      <w:pPr>
        <w:rPr>
          <w:rFonts w:ascii="Calibri" w:hAnsi="Calibri"/>
        </w:rPr>
      </w:pPr>
      <w:r>
        <w:rPr>
          <w:rFonts w:ascii="Calibri" w:hAnsi="Calibri"/>
        </w:rPr>
        <w:t>During the course of the pilot</w:t>
      </w:r>
      <w:r w:rsidR="00DE04C8">
        <w:rPr>
          <w:rFonts w:ascii="Calibri" w:hAnsi="Calibri"/>
        </w:rPr>
        <w:t xml:space="preserve">, </w:t>
      </w:r>
      <w:r w:rsidR="00E31418">
        <w:rPr>
          <w:rFonts w:ascii="Calibri" w:hAnsi="Calibri"/>
        </w:rPr>
        <w:t xml:space="preserve">time taken for each session increased slightly in </w:t>
      </w:r>
      <w:r w:rsidR="00821375">
        <w:rPr>
          <w:rFonts w:ascii="Calibri" w:hAnsi="Calibri"/>
        </w:rPr>
        <w:t>both branches</w:t>
      </w:r>
      <w:r w:rsidR="000B4084">
        <w:rPr>
          <w:rFonts w:ascii="Calibri" w:hAnsi="Calibri"/>
        </w:rPr>
        <w:t xml:space="preserve">. A possible explanation is the fact that DFs were initially unsecure on how to conduct the TLCs and </w:t>
      </w:r>
      <w:r>
        <w:rPr>
          <w:rFonts w:ascii="Calibri" w:hAnsi="Calibri"/>
        </w:rPr>
        <w:t>“rushed” through the process to get it done. While becoming more familiar with the s</w:t>
      </w:r>
      <w:r w:rsidR="003B3F54">
        <w:rPr>
          <w:rFonts w:ascii="Calibri" w:hAnsi="Calibri"/>
        </w:rPr>
        <w:t>tructure and content of the TLC;</w:t>
      </w:r>
      <w:r>
        <w:rPr>
          <w:rFonts w:ascii="Calibri" w:hAnsi="Calibri"/>
        </w:rPr>
        <w:t xml:space="preserve"> DFs “relaxed” and seemingly enjoyed the sessions, including taking time in explaining </w:t>
      </w:r>
      <w:r w:rsidR="00821375">
        <w:rPr>
          <w:rFonts w:ascii="Calibri" w:hAnsi="Calibri"/>
        </w:rPr>
        <w:t>their clients’</w:t>
      </w:r>
      <w:r>
        <w:rPr>
          <w:rFonts w:ascii="Calibri" w:hAnsi="Calibri"/>
        </w:rPr>
        <w:t xml:space="preserve"> </w:t>
      </w:r>
      <w:r w:rsidR="005A77FE">
        <w:rPr>
          <w:rFonts w:ascii="Calibri" w:hAnsi="Calibri"/>
        </w:rPr>
        <w:t xml:space="preserve">particulars of the </w:t>
      </w:r>
      <w:r>
        <w:rPr>
          <w:rFonts w:ascii="Calibri" w:hAnsi="Calibri"/>
        </w:rPr>
        <w:t>content.</w:t>
      </w:r>
    </w:p>
    <w:p w:rsidR="00BB1C1E" w:rsidRDefault="00BB1C1E" w:rsidP="0055711A">
      <w:pPr>
        <w:rPr>
          <w:rFonts w:ascii="Calibri" w:hAnsi="Calibri"/>
        </w:rPr>
      </w:pPr>
      <w:r>
        <w:rPr>
          <w:rFonts w:ascii="Calibri" w:hAnsi="Calibri"/>
        </w:rPr>
        <w:t>Another issue we followed up during this assessment is whether DFs can deliver a good TLC in big centres. TLC</w:t>
      </w:r>
      <w:r w:rsidR="00E93ECF">
        <w:rPr>
          <w:rFonts w:ascii="Calibri" w:hAnsi="Calibri"/>
        </w:rPr>
        <w:t>s</w:t>
      </w:r>
      <w:r>
        <w:rPr>
          <w:rFonts w:ascii="Calibri" w:hAnsi="Calibri"/>
        </w:rPr>
        <w:t xml:space="preserve"> </w:t>
      </w:r>
      <w:proofErr w:type="gramStart"/>
      <w:r>
        <w:rPr>
          <w:rFonts w:ascii="Calibri" w:hAnsi="Calibri"/>
        </w:rPr>
        <w:t>are designed</w:t>
      </w:r>
      <w:proofErr w:type="gramEnd"/>
      <w:r>
        <w:rPr>
          <w:rFonts w:ascii="Calibri" w:hAnsi="Calibri"/>
        </w:rPr>
        <w:t xml:space="preserve"> to </w:t>
      </w:r>
      <w:r w:rsidR="005A77FE">
        <w:rPr>
          <w:rFonts w:ascii="Calibri" w:hAnsi="Calibri"/>
        </w:rPr>
        <w:t>fit best in a deliver y to 30 to 4</w:t>
      </w:r>
      <w:r w:rsidR="00BA28BA">
        <w:rPr>
          <w:rFonts w:ascii="Calibri" w:hAnsi="Calibri"/>
        </w:rPr>
        <w:t>0 people. Most of SEF’s centres have more than</w:t>
      </w:r>
      <w:r w:rsidR="00F60D3D">
        <w:rPr>
          <w:rFonts w:ascii="Calibri" w:hAnsi="Calibri"/>
        </w:rPr>
        <w:t xml:space="preserve"> 30 clients, i</w:t>
      </w:r>
      <w:r w:rsidR="00BA28BA">
        <w:rPr>
          <w:rFonts w:ascii="Calibri" w:hAnsi="Calibri"/>
        </w:rPr>
        <w:t xml:space="preserve">n </w:t>
      </w:r>
      <w:r w:rsidR="00F60D3D">
        <w:rPr>
          <w:rFonts w:ascii="Calibri" w:hAnsi="Calibri"/>
        </w:rPr>
        <w:t>fact;</w:t>
      </w:r>
      <w:r w:rsidR="00BA28BA">
        <w:rPr>
          <w:rFonts w:ascii="Calibri" w:hAnsi="Calibri"/>
        </w:rPr>
        <w:t xml:space="preserve"> only 16% of the centres in </w:t>
      </w:r>
      <w:proofErr w:type="spellStart"/>
      <w:r w:rsidR="00BA28BA">
        <w:rPr>
          <w:rFonts w:ascii="Calibri" w:hAnsi="Calibri"/>
        </w:rPr>
        <w:t>Tdal</w:t>
      </w:r>
      <w:proofErr w:type="spellEnd"/>
      <w:r w:rsidR="00BA28BA">
        <w:rPr>
          <w:rFonts w:ascii="Calibri" w:hAnsi="Calibri"/>
        </w:rPr>
        <w:t xml:space="preserve"> and Burger</w:t>
      </w:r>
      <w:r w:rsidR="00F60D3D">
        <w:rPr>
          <w:rFonts w:ascii="Calibri" w:hAnsi="Calibri"/>
        </w:rPr>
        <w:t>s</w:t>
      </w:r>
      <w:r w:rsidR="00BA28BA">
        <w:rPr>
          <w:rFonts w:ascii="Calibri" w:hAnsi="Calibri"/>
        </w:rPr>
        <w:t>fort have 30 or less clients.</w:t>
      </w:r>
      <w:r w:rsidR="00CD027E">
        <w:rPr>
          <w:rFonts w:ascii="Calibri" w:hAnsi="Calibri"/>
        </w:rPr>
        <w:t xml:space="preserve"> </w:t>
      </w:r>
      <w:r w:rsidR="005A77FE">
        <w:rPr>
          <w:rFonts w:ascii="Calibri" w:hAnsi="Calibri"/>
        </w:rPr>
        <w:t>Nevertheless,</w:t>
      </w:r>
      <w:r w:rsidR="00E93ECF">
        <w:rPr>
          <w:rFonts w:ascii="Calibri" w:hAnsi="Calibri"/>
        </w:rPr>
        <w:t xml:space="preserve"> SEF’s DFs found their own solution to this problem: w</w:t>
      </w:r>
      <w:r w:rsidR="00CD027E">
        <w:rPr>
          <w:rFonts w:ascii="Calibri" w:hAnsi="Calibri"/>
        </w:rPr>
        <w:t xml:space="preserve">here the space was too small to arrange the groups in a circle or semi circle, DFs would deliver the TLCs outside. In cases where the weather was unfavourable, DFs would deliver the TLCs inside without changing the seating arrangements. Furthermore, DFs arranged clients </w:t>
      </w:r>
      <w:r w:rsidR="00E93ECF">
        <w:rPr>
          <w:rFonts w:ascii="Calibri" w:hAnsi="Calibri"/>
        </w:rPr>
        <w:t xml:space="preserve">in big centres </w:t>
      </w:r>
      <w:r w:rsidR="00CD027E">
        <w:rPr>
          <w:rFonts w:ascii="Calibri" w:hAnsi="Calibri"/>
        </w:rPr>
        <w:t xml:space="preserve">to work in groups of </w:t>
      </w:r>
      <w:proofErr w:type="gramStart"/>
      <w:r w:rsidR="00CD027E">
        <w:rPr>
          <w:rFonts w:ascii="Calibri" w:hAnsi="Calibri"/>
        </w:rPr>
        <w:t>5</w:t>
      </w:r>
      <w:proofErr w:type="gramEnd"/>
      <w:r w:rsidR="00CD027E">
        <w:rPr>
          <w:rFonts w:ascii="Calibri" w:hAnsi="Calibri"/>
        </w:rPr>
        <w:t xml:space="preserve"> or 6 instead of pairs, to increase their ability to control the groups. </w:t>
      </w:r>
    </w:p>
    <w:p w:rsidR="00F233B8" w:rsidRPr="007F2C50" w:rsidRDefault="00F233B8" w:rsidP="0055711A">
      <w:pPr>
        <w:rPr>
          <w:rFonts w:ascii="Calibri" w:hAnsi="Calibri"/>
          <w:b/>
          <w:i/>
          <w:u w:val="single"/>
        </w:rPr>
      </w:pPr>
      <w:r w:rsidRPr="007F2C50">
        <w:rPr>
          <w:rFonts w:ascii="Calibri" w:hAnsi="Calibri"/>
          <w:b/>
          <w:i/>
          <w:u w:val="single"/>
        </w:rPr>
        <w:t xml:space="preserve">Objective 3: </w:t>
      </w:r>
      <w:r w:rsidR="00A03D80">
        <w:rPr>
          <w:rFonts w:ascii="Calibri" w:hAnsi="Calibri"/>
          <w:b/>
          <w:i/>
          <w:u w:val="single"/>
        </w:rPr>
        <w:t>There is no</w:t>
      </w:r>
      <w:r w:rsidRPr="007F2C50">
        <w:rPr>
          <w:rFonts w:ascii="Calibri" w:hAnsi="Calibri"/>
          <w:b/>
          <w:i/>
          <w:u w:val="single"/>
        </w:rPr>
        <w:t xml:space="preserve"> </w:t>
      </w:r>
      <w:r w:rsidR="00A03D80">
        <w:rPr>
          <w:rFonts w:ascii="Calibri" w:hAnsi="Calibri"/>
          <w:b/>
          <w:i/>
          <w:u w:val="single"/>
        </w:rPr>
        <w:t xml:space="preserve">significant </w:t>
      </w:r>
      <w:r w:rsidRPr="007F2C50">
        <w:rPr>
          <w:rFonts w:ascii="Calibri" w:hAnsi="Calibri"/>
          <w:b/>
          <w:i/>
          <w:u w:val="single"/>
        </w:rPr>
        <w:t xml:space="preserve">increase </w:t>
      </w:r>
      <w:r w:rsidR="00A03D80">
        <w:rPr>
          <w:rFonts w:ascii="Calibri" w:hAnsi="Calibri"/>
          <w:b/>
          <w:i/>
          <w:u w:val="single"/>
        </w:rPr>
        <w:t>in DF and BM workload</w:t>
      </w:r>
    </w:p>
    <w:p w:rsidR="00F233B8" w:rsidRDefault="00507904" w:rsidP="0055711A">
      <w:pPr>
        <w:rPr>
          <w:rFonts w:ascii="Calibri" w:hAnsi="Calibri"/>
        </w:rPr>
      </w:pPr>
      <w:r>
        <w:rPr>
          <w:rFonts w:ascii="Calibri" w:hAnsi="Calibri"/>
        </w:rPr>
        <w:t>During</w:t>
      </w:r>
      <w:r w:rsidR="00F233B8">
        <w:rPr>
          <w:rFonts w:ascii="Calibri" w:hAnsi="Calibri"/>
        </w:rPr>
        <w:t xml:space="preserve"> discussions with </w:t>
      </w:r>
      <w:r>
        <w:rPr>
          <w:rFonts w:ascii="Calibri" w:hAnsi="Calibri"/>
        </w:rPr>
        <w:t>branch staff</w:t>
      </w:r>
      <w:r w:rsidR="00F233B8">
        <w:rPr>
          <w:rFonts w:ascii="Calibri" w:hAnsi="Calibri"/>
        </w:rPr>
        <w:t xml:space="preserve">, it was evident that workload is not an issue. </w:t>
      </w:r>
      <w:r>
        <w:rPr>
          <w:rFonts w:ascii="Calibri" w:hAnsi="Calibri"/>
        </w:rPr>
        <w:t xml:space="preserve">The additional hour per month for rehearsals was not a problem for none of the staff. The same applies to the extra half an hour for fortnight meetings. Branch Managers did not see a difference since they incorporate the TLC spot checks into their centre meeting visit. </w:t>
      </w:r>
    </w:p>
    <w:p w:rsidR="00262C1B" w:rsidRDefault="00CC6D54" w:rsidP="0055711A">
      <w:pPr>
        <w:rPr>
          <w:rFonts w:ascii="Calibri" w:hAnsi="Calibri"/>
        </w:rPr>
      </w:pPr>
      <w:r>
        <w:rPr>
          <w:rFonts w:ascii="Calibri" w:hAnsi="Calibri"/>
        </w:rPr>
        <w:t xml:space="preserve">However, </w:t>
      </w:r>
      <w:r w:rsidR="00262C1B">
        <w:rPr>
          <w:rFonts w:ascii="Calibri" w:hAnsi="Calibri"/>
        </w:rPr>
        <w:t xml:space="preserve">DFs in </w:t>
      </w:r>
      <w:proofErr w:type="spellStart"/>
      <w:r w:rsidR="00262C1B">
        <w:rPr>
          <w:rFonts w:ascii="Calibri" w:hAnsi="Calibri"/>
        </w:rPr>
        <w:t>Tdal</w:t>
      </w:r>
      <w:proofErr w:type="spellEnd"/>
      <w:r w:rsidR="00262C1B">
        <w:rPr>
          <w:rFonts w:ascii="Calibri" w:hAnsi="Calibri"/>
        </w:rPr>
        <w:t xml:space="preserve"> revealed that in big centres they sometimes skip items like LSV, LUC and patching to finish the centre meeting on time. </w:t>
      </w:r>
      <w:r w:rsidR="00821375">
        <w:rPr>
          <w:rFonts w:ascii="Calibri" w:hAnsi="Calibri"/>
        </w:rPr>
        <w:t xml:space="preserve">It is not the TLC that is taken much of their time, but other items like “Fines” that tend to prolong the centre meetings unnecessarily. </w:t>
      </w:r>
      <w:r w:rsidR="00262C1B">
        <w:rPr>
          <w:rFonts w:ascii="Calibri" w:hAnsi="Calibri"/>
        </w:rPr>
        <w:t xml:space="preserve">In </w:t>
      </w:r>
      <w:r w:rsidR="005A77FE">
        <w:rPr>
          <w:rFonts w:ascii="Calibri" w:hAnsi="Calibri"/>
        </w:rPr>
        <w:t>Burgersfort,</w:t>
      </w:r>
      <w:r w:rsidR="00262C1B">
        <w:rPr>
          <w:rFonts w:ascii="Calibri" w:hAnsi="Calibri"/>
        </w:rPr>
        <w:t xml:space="preserve"> the natural leader presentation (IMAGE) </w:t>
      </w:r>
      <w:proofErr w:type="gramStart"/>
      <w:r w:rsidR="00262C1B">
        <w:rPr>
          <w:rFonts w:ascii="Calibri" w:hAnsi="Calibri"/>
        </w:rPr>
        <w:t>was moved</w:t>
      </w:r>
      <w:proofErr w:type="gramEnd"/>
      <w:r w:rsidR="00262C1B">
        <w:rPr>
          <w:rFonts w:ascii="Calibri" w:hAnsi="Calibri"/>
        </w:rPr>
        <w:t xml:space="preserve"> to the monthly meeting, except for </w:t>
      </w:r>
      <w:r w:rsidR="005A77FE">
        <w:rPr>
          <w:rFonts w:ascii="Calibri" w:hAnsi="Calibri"/>
        </w:rPr>
        <w:t>one</w:t>
      </w:r>
      <w:r w:rsidR="00262C1B">
        <w:rPr>
          <w:rFonts w:ascii="Calibri" w:hAnsi="Calibri"/>
        </w:rPr>
        <w:t xml:space="preserve"> area where clients were comfortable in attending both sessions</w:t>
      </w:r>
      <w:r w:rsidR="00821375">
        <w:rPr>
          <w:rFonts w:ascii="Calibri" w:hAnsi="Calibri"/>
        </w:rPr>
        <w:t xml:space="preserve"> at the same day</w:t>
      </w:r>
      <w:r w:rsidR="00262C1B">
        <w:rPr>
          <w:rFonts w:ascii="Calibri" w:hAnsi="Calibri"/>
        </w:rPr>
        <w:t xml:space="preserve">. Nevertheless, we still feel that we need to follow up on this matter during the final evaluation of the pilot to ensure </w:t>
      </w:r>
      <w:r w:rsidR="005A77FE">
        <w:rPr>
          <w:rFonts w:ascii="Calibri" w:hAnsi="Calibri"/>
        </w:rPr>
        <w:t xml:space="preserve">that </w:t>
      </w:r>
      <w:r w:rsidR="00262C1B">
        <w:rPr>
          <w:rFonts w:ascii="Calibri" w:hAnsi="Calibri"/>
        </w:rPr>
        <w:t xml:space="preserve">quality and length of centre meetings are </w:t>
      </w:r>
      <w:r w:rsidR="005A77FE">
        <w:rPr>
          <w:rFonts w:ascii="Calibri" w:hAnsi="Calibri"/>
        </w:rPr>
        <w:t>appropriate</w:t>
      </w:r>
      <w:r w:rsidR="00262C1B">
        <w:rPr>
          <w:rFonts w:ascii="Calibri" w:hAnsi="Calibri"/>
        </w:rPr>
        <w:t xml:space="preserve">. </w:t>
      </w:r>
    </w:p>
    <w:p w:rsidR="00CC6D54" w:rsidRDefault="005A77FE" w:rsidP="0055711A">
      <w:pPr>
        <w:rPr>
          <w:rFonts w:ascii="Calibri" w:hAnsi="Calibri"/>
        </w:rPr>
      </w:pPr>
      <w:r>
        <w:rPr>
          <w:rFonts w:ascii="Calibri" w:hAnsi="Calibri"/>
        </w:rPr>
        <w:t>In addition</w:t>
      </w:r>
      <w:r w:rsidR="00262C1B">
        <w:rPr>
          <w:rFonts w:ascii="Calibri" w:hAnsi="Calibri"/>
        </w:rPr>
        <w:t xml:space="preserve">, </w:t>
      </w:r>
      <w:r w:rsidR="00CC6D54">
        <w:rPr>
          <w:rFonts w:ascii="Calibri" w:hAnsi="Calibri"/>
        </w:rPr>
        <w:t xml:space="preserve">one </w:t>
      </w:r>
      <w:r w:rsidR="00BB1C1E">
        <w:rPr>
          <w:rFonts w:ascii="Calibri" w:hAnsi="Calibri"/>
        </w:rPr>
        <w:t xml:space="preserve">of the two new DFs </w:t>
      </w:r>
      <w:r w:rsidR="00CC6D54">
        <w:rPr>
          <w:rFonts w:ascii="Calibri" w:hAnsi="Calibri"/>
        </w:rPr>
        <w:t xml:space="preserve">revealed that she struggles in keeping up with her “normal” SEF work and doing the TLC. She </w:t>
      </w:r>
      <w:r w:rsidR="00E31418">
        <w:rPr>
          <w:rFonts w:ascii="Calibri" w:hAnsi="Calibri"/>
        </w:rPr>
        <w:t>said</w:t>
      </w:r>
      <w:r w:rsidR="00CC6D54">
        <w:rPr>
          <w:rFonts w:ascii="Calibri" w:hAnsi="Calibri"/>
        </w:rPr>
        <w:t xml:space="preserve"> that she sometimes feels that it is too much for her and wished that the introduction of the TLC came at a later stage for new DFs. </w:t>
      </w:r>
    </w:p>
    <w:p w:rsidR="00507904" w:rsidRPr="007F2C50" w:rsidRDefault="00507904" w:rsidP="0055711A">
      <w:pPr>
        <w:rPr>
          <w:rFonts w:ascii="Calibri" w:hAnsi="Calibri"/>
          <w:b/>
          <w:i/>
          <w:u w:val="single"/>
        </w:rPr>
      </w:pPr>
      <w:r w:rsidRPr="007F2C50">
        <w:rPr>
          <w:rFonts w:ascii="Calibri" w:hAnsi="Calibri"/>
          <w:b/>
          <w:i/>
          <w:u w:val="single"/>
        </w:rPr>
        <w:t xml:space="preserve">Objective 4: </w:t>
      </w:r>
      <w:r w:rsidR="00BF0538">
        <w:rPr>
          <w:rFonts w:ascii="Calibri" w:hAnsi="Calibri"/>
          <w:b/>
          <w:i/>
          <w:u w:val="single"/>
        </w:rPr>
        <w:t>There are clear benefits for clients and they will apply their knowledge</w:t>
      </w:r>
    </w:p>
    <w:p w:rsidR="00507904" w:rsidRDefault="00507904" w:rsidP="0055711A">
      <w:pPr>
        <w:rPr>
          <w:rFonts w:ascii="Calibri" w:hAnsi="Calibri"/>
        </w:rPr>
      </w:pPr>
      <w:r>
        <w:rPr>
          <w:rFonts w:ascii="Calibri" w:hAnsi="Calibri"/>
        </w:rPr>
        <w:t xml:space="preserve">All clients generally liked all the TLC sessions delivered so far. Interesting enough, clients could not remember the topic of the sessions but were able to explain what Mapula did with her loan, expenses and </w:t>
      </w:r>
      <w:r w:rsidR="00C07BA6">
        <w:rPr>
          <w:rFonts w:ascii="Calibri" w:hAnsi="Calibri"/>
        </w:rPr>
        <w:t xml:space="preserve">savings. They revealed that it has given them a sense of purpose and that their debts will soon be over. </w:t>
      </w:r>
      <w:proofErr w:type="gramStart"/>
      <w:r w:rsidR="00C07BA6">
        <w:rPr>
          <w:rFonts w:ascii="Calibri" w:hAnsi="Calibri"/>
        </w:rPr>
        <w:t>Clients regarded Mapula as their role model and want to be just like her.</w:t>
      </w:r>
      <w:proofErr w:type="gramEnd"/>
      <w:r w:rsidR="00C07BA6">
        <w:rPr>
          <w:rFonts w:ascii="Calibri" w:hAnsi="Calibri"/>
        </w:rPr>
        <w:t xml:space="preserve"> Others even referred </w:t>
      </w:r>
      <w:r w:rsidR="00BF0538">
        <w:rPr>
          <w:rFonts w:ascii="Calibri" w:hAnsi="Calibri"/>
        </w:rPr>
        <w:t xml:space="preserve">to </w:t>
      </w:r>
      <w:r w:rsidR="00C07BA6">
        <w:rPr>
          <w:rFonts w:ascii="Calibri" w:hAnsi="Calibri"/>
        </w:rPr>
        <w:t>her as “</w:t>
      </w:r>
      <w:proofErr w:type="spellStart"/>
      <w:r w:rsidR="00C07BA6">
        <w:rPr>
          <w:rFonts w:ascii="Calibri" w:hAnsi="Calibri"/>
        </w:rPr>
        <w:t>mosadi</w:t>
      </w:r>
      <w:proofErr w:type="spellEnd"/>
      <w:r w:rsidR="00C07BA6">
        <w:rPr>
          <w:rFonts w:ascii="Calibri" w:hAnsi="Calibri"/>
        </w:rPr>
        <w:t xml:space="preserve"> </w:t>
      </w:r>
      <w:proofErr w:type="spellStart"/>
      <w:r w:rsidR="00C07BA6">
        <w:rPr>
          <w:rFonts w:ascii="Calibri" w:hAnsi="Calibri"/>
        </w:rPr>
        <w:t>wa</w:t>
      </w:r>
      <w:proofErr w:type="spellEnd"/>
      <w:r w:rsidR="00C07BA6">
        <w:rPr>
          <w:rFonts w:ascii="Calibri" w:hAnsi="Calibri"/>
        </w:rPr>
        <w:t xml:space="preserve"> </w:t>
      </w:r>
      <w:proofErr w:type="spellStart"/>
      <w:r w:rsidR="00C07BA6">
        <w:rPr>
          <w:rFonts w:ascii="Calibri" w:hAnsi="Calibri"/>
        </w:rPr>
        <w:t>bothlale</w:t>
      </w:r>
      <w:proofErr w:type="spellEnd"/>
      <w:r w:rsidR="00C07BA6">
        <w:rPr>
          <w:rFonts w:ascii="Calibri" w:hAnsi="Calibri"/>
        </w:rPr>
        <w:t xml:space="preserve">” meaning a </w:t>
      </w:r>
      <w:r w:rsidR="00A03D80">
        <w:rPr>
          <w:rFonts w:ascii="Calibri" w:hAnsi="Calibri"/>
        </w:rPr>
        <w:t>“</w:t>
      </w:r>
      <w:r w:rsidR="00C07BA6">
        <w:rPr>
          <w:rFonts w:ascii="Calibri" w:hAnsi="Calibri"/>
        </w:rPr>
        <w:t>clever woman</w:t>
      </w:r>
      <w:r w:rsidR="00A03D80">
        <w:rPr>
          <w:rFonts w:ascii="Calibri" w:hAnsi="Calibri"/>
        </w:rPr>
        <w:t>”</w:t>
      </w:r>
      <w:r w:rsidR="00C07BA6">
        <w:rPr>
          <w:rFonts w:ascii="Calibri" w:hAnsi="Calibri"/>
        </w:rPr>
        <w:t xml:space="preserve">. </w:t>
      </w:r>
    </w:p>
    <w:p w:rsidR="002924B9" w:rsidRDefault="00C07BA6" w:rsidP="0055711A">
      <w:pPr>
        <w:rPr>
          <w:rFonts w:ascii="Calibri" w:hAnsi="Calibri"/>
        </w:rPr>
      </w:pPr>
      <w:r>
        <w:rPr>
          <w:rFonts w:ascii="Calibri" w:hAnsi="Calibri"/>
        </w:rPr>
        <w:t xml:space="preserve">Furthermore, in both branches, clients with larger </w:t>
      </w:r>
      <w:r w:rsidR="00821375">
        <w:rPr>
          <w:rFonts w:ascii="Calibri" w:hAnsi="Calibri"/>
        </w:rPr>
        <w:t>loans (≥</w:t>
      </w:r>
      <w:r>
        <w:rPr>
          <w:rFonts w:ascii="Calibri" w:hAnsi="Calibri"/>
        </w:rPr>
        <w:t xml:space="preserve"> R5000) told us that they had difficulty in calculating the interest of their loans since joining SEF and had to rely on DFs for advice. Now, that calculations </w:t>
      </w:r>
      <w:proofErr w:type="gramStart"/>
      <w:r>
        <w:rPr>
          <w:rFonts w:ascii="Calibri" w:hAnsi="Calibri"/>
        </w:rPr>
        <w:t>are made</w:t>
      </w:r>
      <w:proofErr w:type="gramEnd"/>
      <w:r>
        <w:rPr>
          <w:rFonts w:ascii="Calibri" w:hAnsi="Calibri"/>
        </w:rPr>
        <w:t xml:space="preserve"> practical and simple, they can calculate on their own and they feel in control because they are able to share and educate other villagers who are interested in joining SEF. </w:t>
      </w:r>
    </w:p>
    <w:p w:rsidR="00C07BA6" w:rsidRDefault="00C07BA6" w:rsidP="0055711A">
      <w:pPr>
        <w:rPr>
          <w:rFonts w:ascii="Calibri" w:hAnsi="Calibri"/>
        </w:rPr>
      </w:pPr>
      <w:r>
        <w:rPr>
          <w:rFonts w:ascii="Calibri" w:hAnsi="Calibri"/>
        </w:rPr>
        <w:t xml:space="preserve">In summary </w:t>
      </w:r>
      <w:r w:rsidR="00BF0538">
        <w:rPr>
          <w:rFonts w:ascii="Calibri" w:hAnsi="Calibri"/>
        </w:rPr>
        <w:t xml:space="preserve">we can say, that our clients learn from the sessions and apply their knowledge by sharing it with their neighbours and families. </w:t>
      </w:r>
      <w:r w:rsidR="006E1416">
        <w:rPr>
          <w:rFonts w:ascii="Calibri" w:hAnsi="Calibri"/>
        </w:rPr>
        <w:t>However,</w:t>
      </w:r>
      <w:r w:rsidR="00BF0538">
        <w:rPr>
          <w:rFonts w:ascii="Calibri" w:hAnsi="Calibri"/>
        </w:rPr>
        <w:t xml:space="preserve"> </w:t>
      </w:r>
      <w:r w:rsidR="001C6310">
        <w:rPr>
          <w:rFonts w:ascii="Calibri" w:hAnsi="Calibri"/>
        </w:rPr>
        <w:t>the learning</w:t>
      </w:r>
      <w:r w:rsidR="00BF0538">
        <w:rPr>
          <w:rFonts w:ascii="Calibri" w:hAnsi="Calibri"/>
        </w:rPr>
        <w:t xml:space="preserve"> process </w:t>
      </w:r>
      <w:r w:rsidR="001C6310">
        <w:rPr>
          <w:rFonts w:ascii="Calibri" w:hAnsi="Calibri"/>
        </w:rPr>
        <w:t xml:space="preserve">is slow </w:t>
      </w:r>
      <w:r w:rsidR="00BF0538">
        <w:rPr>
          <w:rFonts w:ascii="Calibri" w:hAnsi="Calibri"/>
        </w:rPr>
        <w:t xml:space="preserve">and it will take time until we will see measurable results. </w:t>
      </w:r>
      <w:r>
        <w:rPr>
          <w:rFonts w:ascii="Calibri" w:hAnsi="Calibri"/>
        </w:rPr>
        <w:t xml:space="preserve"> </w:t>
      </w:r>
    </w:p>
    <w:p w:rsidR="00ED00D7" w:rsidRPr="007F2C50" w:rsidRDefault="00ED00D7" w:rsidP="0055711A">
      <w:pPr>
        <w:rPr>
          <w:rFonts w:ascii="Calibri" w:hAnsi="Calibri"/>
          <w:b/>
          <w:i/>
          <w:u w:val="single"/>
        </w:rPr>
      </w:pPr>
      <w:r w:rsidRPr="007F2C50">
        <w:rPr>
          <w:rFonts w:ascii="Calibri" w:hAnsi="Calibri"/>
          <w:b/>
          <w:i/>
          <w:u w:val="single"/>
        </w:rPr>
        <w:t xml:space="preserve">Objective 5: </w:t>
      </w:r>
      <w:r w:rsidR="00A03D80">
        <w:rPr>
          <w:rFonts w:ascii="Calibri" w:hAnsi="Calibri"/>
          <w:b/>
          <w:i/>
          <w:u w:val="single"/>
        </w:rPr>
        <w:t>Fortnightly delivery is appropriate for SEF clients</w:t>
      </w:r>
      <w:r w:rsidRPr="007F2C50">
        <w:rPr>
          <w:rFonts w:ascii="Calibri" w:hAnsi="Calibri"/>
          <w:b/>
          <w:i/>
          <w:u w:val="single"/>
        </w:rPr>
        <w:t xml:space="preserve"> </w:t>
      </w:r>
    </w:p>
    <w:p w:rsidR="00ED00D7" w:rsidRDefault="00ED00D7" w:rsidP="0055711A">
      <w:pPr>
        <w:rPr>
          <w:rFonts w:ascii="Calibri" w:hAnsi="Calibri"/>
        </w:rPr>
      </w:pPr>
      <w:r>
        <w:rPr>
          <w:rFonts w:ascii="Calibri" w:hAnsi="Calibri"/>
        </w:rPr>
        <w:t xml:space="preserve">Clients in both branches are comfortable with </w:t>
      </w:r>
      <w:r w:rsidR="00A03D80">
        <w:rPr>
          <w:rFonts w:ascii="Calibri" w:hAnsi="Calibri"/>
        </w:rPr>
        <w:t xml:space="preserve">using </w:t>
      </w:r>
      <w:r>
        <w:rPr>
          <w:rFonts w:ascii="Calibri" w:hAnsi="Calibri"/>
        </w:rPr>
        <w:t xml:space="preserve">fortnight meetings </w:t>
      </w:r>
      <w:r w:rsidR="00A03D80">
        <w:rPr>
          <w:rFonts w:ascii="Calibri" w:hAnsi="Calibri"/>
        </w:rPr>
        <w:t xml:space="preserve">for TLC </w:t>
      </w:r>
      <w:r>
        <w:rPr>
          <w:rFonts w:ascii="Calibri" w:hAnsi="Calibri"/>
        </w:rPr>
        <w:t>as it gives them time to discuss wit</w:t>
      </w:r>
      <w:r w:rsidR="00A03D80">
        <w:rPr>
          <w:rFonts w:ascii="Calibri" w:hAnsi="Calibri"/>
        </w:rPr>
        <w:t>hout having to worry about re</w:t>
      </w:r>
      <w:r>
        <w:rPr>
          <w:rFonts w:ascii="Calibri" w:hAnsi="Calibri"/>
        </w:rPr>
        <w:t>payment</w:t>
      </w:r>
      <w:r w:rsidR="00A03D80">
        <w:rPr>
          <w:rFonts w:ascii="Calibri" w:hAnsi="Calibri"/>
        </w:rPr>
        <w:t>s</w:t>
      </w:r>
      <w:r>
        <w:rPr>
          <w:rFonts w:ascii="Calibri" w:hAnsi="Calibri"/>
        </w:rPr>
        <w:t xml:space="preserve">. They cited monthly meetings to be time consuming especially when there are repayment problems and large number of groups. Furthermore, clients in both branches felt that time taken for TLC should not change because they are able to fit in their business schedule. Only a few clients in Burgersfort felt that 30 minutes are not enough and that the training </w:t>
      </w:r>
      <w:proofErr w:type="gramStart"/>
      <w:r>
        <w:rPr>
          <w:rFonts w:ascii="Calibri" w:hAnsi="Calibri"/>
        </w:rPr>
        <w:t>should be provided</w:t>
      </w:r>
      <w:proofErr w:type="gramEnd"/>
      <w:r>
        <w:rPr>
          <w:rFonts w:ascii="Calibri" w:hAnsi="Calibri"/>
        </w:rPr>
        <w:t xml:space="preserve"> on a separate day. </w:t>
      </w:r>
    </w:p>
    <w:p w:rsidR="006E1416" w:rsidRDefault="006E1416" w:rsidP="0055711A">
      <w:pPr>
        <w:rPr>
          <w:rFonts w:ascii="Calibri" w:hAnsi="Calibri"/>
        </w:rPr>
      </w:pPr>
      <w:r>
        <w:rPr>
          <w:rFonts w:ascii="Calibri" w:hAnsi="Calibri"/>
        </w:rPr>
        <w:t xml:space="preserve">Furthermore, we had cases where the DF was not able to deliver the TLC for 2 months and struggled through the review, because clients simply could not remember what they </w:t>
      </w:r>
      <w:proofErr w:type="gramStart"/>
      <w:r>
        <w:rPr>
          <w:rFonts w:ascii="Calibri" w:hAnsi="Calibri"/>
        </w:rPr>
        <w:t>have been told</w:t>
      </w:r>
      <w:proofErr w:type="gramEnd"/>
      <w:r>
        <w:rPr>
          <w:rFonts w:ascii="Calibri" w:hAnsi="Calibri"/>
        </w:rPr>
        <w:t xml:space="preserve"> in the last session. In those cases, we are recommending a repetition of the last session to ensure everybody is on the same page.</w:t>
      </w:r>
    </w:p>
    <w:p w:rsidR="00AF70C4" w:rsidRDefault="006E1416" w:rsidP="0055711A">
      <w:pPr>
        <w:rPr>
          <w:rFonts w:ascii="Calibri" w:hAnsi="Calibri"/>
        </w:rPr>
      </w:pPr>
      <w:r>
        <w:rPr>
          <w:rFonts w:ascii="Calibri" w:hAnsi="Calibri"/>
        </w:rPr>
        <w:t xml:space="preserve">On top of that, the DFs that </w:t>
      </w:r>
      <w:proofErr w:type="gramStart"/>
      <w:r>
        <w:rPr>
          <w:rFonts w:ascii="Calibri" w:hAnsi="Calibri"/>
        </w:rPr>
        <w:t>were trained</w:t>
      </w:r>
      <w:proofErr w:type="gramEnd"/>
      <w:r>
        <w:rPr>
          <w:rFonts w:ascii="Calibri" w:hAnsi="Calibri"/>
        </w:rPr>
        <w:t xml:space="preserve"> later by Training department conducted the TLC twice a month to catch up with the other DFs. </w:t>
      </w:r>
      <w:r w:rsidR="00BD20B3">
        <w:rPr>
          <w:rFonts w:ascii="Calibri" w:hAnsi="Calibri"/>
        </w:rPr>
        <w:t xml:space="preserve">While questioning clients on the appropriateness of the twice-a -month-delivery, </w:t>
      </w:r>
      <w:r w:rsidR="00AF70C4">
        <w:rPr>
          <w:rFonts w:ascii="Calibri" w:hAnsi="Calibri"/>
        </w:rPr>
        <w:t xml:space="preserve">they confirmed what we already know, namely the preference for TLC during fortnightly meetings. </w:t>
      </w:r>
    </w:p>
    <w:p w:rsidR="008959EC" w:rsidRDefault="00AF70C4" w:rsidP="0055711A">
      <w:pPr>
        <w:rPr>
          <w:rFonts w:ascii="Calibri" w:hAnsi="Calibri"/>
        </w:rPr>
      </w:pPr>
      <w:r>
        <w:rPr>
          <w:rFonts w:ascii="Calibri" w:hAnsi="Calibri"/>
        </w:rPr>
        <w:t xml:space="preserve">Initially we were concerned about the huge gap between the single sessions and asked FFH to design 5-minute revision sessions to </w:t>
      </w:r>
      <w:proofErr w:type="gramStart"/>
      <w:r>
        <w:rPr>
          <w:rFonts w:ascii="Calibri" w:hAnsi="Calibri"/>
        </w:rPr>
        <w:t>be conducted</w:t>
      </w:r>
      <w:proofErr w:type="gramEnd"/>
      <w:r>
        <w:rPr>
          <w:rFonts w:ascii="Calibri" w:hAnsi="Calibri"/>
        </w:rPr>
        <w:t xml:space="preserve"> during monthly meetings. While looking into the efficiency of these revisions, we discovered that most of the DFs in </w:t>
      </w:r>
      <w:proofErr w:type="spellStart"/>
      <w:r>
        <w:rPr>
          <w:rFonts w:ascii="Calibri" w:hAnsi="Calibri"/>
        </w:rPr>
        <w:t>Tdal</w:t>
      </w:r>
      <w:proofErr w:type="spellEnd"/>
      <w:r>
        <w:rPr>
          <w:rFonts w:ascii="Calibri" w:hAnsi="Calibri"/>
        </w:rPr>
        <w:t xml:space="preserve"> are not doing them. They stressed that this mainly happens due to arrears. The DFs will usually know before the centre meeting that there will be an arrear and therefore their minds </w:t>
      </w:r>
      <w:proofErr w:type="gramStart"/>
      <w:r>
        <w:rPr>
          <w:rFonts w:ascii="Calibri" w:hAnsi="Calibri"/>
        </w:rPr>
        <w:t>are already occupied</w:t>
      </w:r>
      <w:proofErr w:type="gramEnd"/>
      <w:r>
        <w:rPr>
          <w:rFonts w:ascii="Calibri" w:hAnsi="Calibri"/>
        </w:rPr>
        <w:t xml:space="preserve"> by the fact of having to solve an arrear. </w:t>
      </w:r>
      <w:r w:rsidR="008959EC">
        <w:rPr>
          <w:rFonts w:ascii="Calibri" w:hAnsi="Calibri"/>
        </w:rPr>
        <w:t xml:space="preserve">However, they stressed that each new session starts with a revision of the previous one and they feel that this one is adequate in reminding everybody where we are. </w:t>
      </w:r>
    </w:p>
    <w:p w:rsidR="00AF70C4" w:rsidRDefault="00AF70C4" w:rsidP="0055711A">
      <w:pPr>
        <w:rPr>
          <w:rFonts w:ascii="Calibri" w:hAnsi="Calibri"/>
        </w:rPr>
      </w:pPr>
      <w:r>
        <w:rPr>
          <w:rFonts w:ascii="Calibri" w:hAnsi="Calibri"/>
        </w:rPr>
        <w:t xml:space="preserve">Nevertheless, since we did not get a chance yet to check with </w:t>
      </w:r>
      <w:r w:rsidR="008959EC">
        <w:rPr>
          <w:rFonts w:ascii="Calibri" w:hAnsi="Calibri"/>
        </w:rPr>
        <w:t xml:space="preserve">the staff in </w:t>
      </w:r>
      <w:proofErr w:type="spellStart"/>
      <w:r>
        <w:rPr>
          <w:rFonts w:ascii="Calibri" w:hAnsi="Calibri"/>
        </w:rPr>
        <w:t>Bfort</w:t>
      </w:r>
      <w:proofErr w:type="spellEnd"/>
      <w:r>
        <w:rPr>
          <w:rFonts w:ascii="Calibri" w:hAnsi="Calibri"/>
        </w:rPr>
        <w:t xml:space="preserve">, how they feel about revisions, I propose looking into this matter together with the final evaluation. </w:t>
      </w:r>
    </w:p>
    <w:p w:rsidR="00135637" w:rsidRPr="007F2C50" w:rsidRDefault="00135637" w:rsidP="0055711A">
      <w:pPr>
        <w:rPr>
          <w:rFonts w:ascii="Calibri" w:hAnsi="Calibri"/>
          <w:b/>
          <w:i/>
          <w:u w:val="single"/>
        </w:rPr>
      </w:pPr>
      <w:r w:rsidRPr="007F2C50">
        <w:rPr>
          <w:rFonts w:ascii="Calibri" w:hAnsi="Calibri"/>
          <w:b/>
          <w:i/>
          <w:u w:val="single"/>
        </w:rPr>
        <w:t>Objective 6: How good is supervision to ensure quality delivery?</w:t>
      </w:r>
    </w:p>
    <w:p w:rsidR="00135637" w:rsidRDefault="00135637" w:rsidP="0055711A">
      <w:pPr>
        <w:rPr>
          <w:rFonts w:ascii="Calibri" w:hAnsi="Calibri"/>
        </w:rPr>
      </w:pPr>
      <w:r>
        <w:rPr>
          <w:rFonts w:ascii="Calibri" w:hAnsi="Calibri"/>
        </w:rPr>
        <w:t xml:space="preserve">The BMs did their best to see each DF until the midterm evaluation in August. However, when asked how they feel about coaching their DFs, they stressed that it would have been important for them to </w:t>
      </w:r>
      <w:proofErr w:type="gramStart"/>
      <w:r>
        <w:rPr>
          <w:rFonts w:ascii="Calibri" w:hAnsi="Calibri"/>
        </w:rPr>
        <w:t>be trained</w:t>
      </w:r>
      <w:proofErr w:type="gramEnd"/>
      <w:r>
        <w:rPr>
          <w:rFonts w:ascii="Calibri" w:hAnsi="Calibri"/>
        </w:rPr>
        <w:t xml:space="preserve"> on the module too to be able to adequately supervise. </w:t>
      </w:r>
      <w:r w:rsidR="002924B9">
        <w:rPr>
          <w:rFonts w:ascii="Calibri" w:hAnsi="Calibri"/>
        </w:rPr>
        <w:t>On top of that</w:t>
      </w:r>
      <w:r>
        <w:rPr>
          <w:rFonts w:ascii="Calibri" w:hAnsi="Calibri"/>
        </w:rPr>
        <w:t xml:space="preserve">, we did not manage to compare BM and monitor supervision, since we only had one case were both, monitor and BM attended the same meeting. However, in this </w:t>
      </w:r>
      <w:proofErr w:type="gramStart"/>
      <w:r>
        <w:rPr>
          <w:rFonts w:ascii="Calibri" w:hAnsi="Calibri"/>
        </w:rPr>
        <w:t>case</w:t>
      </w:r>
      <w:proofErr w:type="gramEnd"/>
      <w:r>
        <w:rPr>
          <w:rFonts w:ascii="Calibri" w:hAnsi="Calibri"/>
        </w:rPr>
        <w:t xml:space="preserve"> t</w:t>
      </w:r>
      <w:r w:rsidR="006E1416">
        <w:rPr>
          <w:rFonts w:ascii="Calibri" w:hAnsi="Calibri"/>
        </w:rPr>
        <w:t xml:space="preserve">he score between both matched, but I recommend putting more emphasis during the final evaluation on this matter. </w:t>
      </w:r>
    </w:p>
    <w:p w:rsidR="00E10236" w:rsidRPr="007F2C50" w:rsidRDefault="00E10236" w:rsidP="0055711A">
      <w:pPr>
        <w:rPr>
          <w:rFonts w:ascii="Calibri" w:hAnsi="Calibri"/>
          <w:b/>
          <w:i/>
          <w:u w:val="single"/>
        </w:rPr>
      </w:pPr>
      <w:r w:rsidRPr="007F2C50">
        <w:rPr>
          <w:rFonts w:ascii="Calibri" w:hAnsi="Calibri"/>
          <w:b/>
          <w:i/>
          <w:u w:val="single"/>
        </w:rPr>
        <w:t xml:space="preserve">Objective 7: Is it enough </w:t>
      </w:r>
      <w:proofErr w:type="gramStart"/>
      <w:r w:rsidRPr="007F2C50">
        <w:rPr>
          <w:rFonts w:ascii="Calibri" w:hAnsi="Calibri"/>
          <w:b/>
          <w:i/>
          <w:u w:val="single"/>
        </w:rPr>
        <w:t>to only translate</w:t>
      </w:r>
      <w:proofErr w:type="gramEnd"/>
      <w:r w:rsidRPr="007F2C50">
        <w:rPr>
          <w:rFonts w:ascii="Calibri" w:hAnsi="Calibri"/>
          <w:b/>
          <w:i/>
          <w:u w:val="single"/>
        </w:rPr>
        <w:t xml:space="preserve"> key terms during training?</w:t>
      </w:r>
    </w:p>
    <w:p w:rsidR="00E10236" w:rsidRDefault="006E1416" w:rsidP="0055711A">
      <w:pPr>
        <w:rPr>
          <w:rFonts w:ascii="Calibri" w:hAnsi="Calibri"/>
        </w:rPr>
      </w:pPr>
      <w:r>
        <w:rPr>
          <w:rFonts w:ascii="Calibri" w:hAnsi="Calibri"/>
        </w:rPr>
        <w:t>The clear answer is No</w:t>
      </w:r>
      <w:r w:rsidR="00E10236">
        <w:rPr>
          <w:rFonts w:ascii="Calibri" w:hAnsi="Calibri"/>
        </w:rPr>
        <w:t xml:space="preserve">. </w:t>
      </w:r>
      <w:r w:rsidR="002924B9">
        <w:rPr>
          <w:rFonts w:ascii="Calibri" w:hAnsi="Calibri"/>
        </w:rPr>
        <w:t>During</w:t>
      </w:r>
      <w:r w:rsidR="00E10236">
        <w:rPr>
          <w:rFonts w:ascii="Calibri" w:hAnsi="Calibri"/>
        </w:rPr>
        <w:t xml:space="preserve"> our </w:t>
      </w:r>
      <w:r w:rsidR="002924B9">
        <w:rPr>
          <w:rFonts w:ascii="Calibri" w:hAnsi="Calibri"/>
        </w:rPr>
        <w:t>observation,</w:t>
      </w:r>
      <w:r w:rsidR="00E10236">
        <w:rPr>
          <w:rFonts w:ascii="Calibri" w:hAnsi="Calibri"/>
        </w:rPr>
        <w:t xml:space="preserve"> we could see DFs struggling in finding the right words, especially if they were facilitating </w:t>
      </w:r>
      <w:r w:rsidR="00A03D80">
        <w:rPr>
          <w:rFonts w:ascii="Calibri" w:hAnsi="Calibri"/>
        </w:rPr>
        <w:t xml:space="preserve">in a language that is not </w:t>
      </w:r>
      <w:r w:rsidR="00E10236">
        <w:rPr>
          <w:rFonts w:ascii="Calibri" w:hAnsi="Calibri"/>
        </w:rPr>
        <w:t xml:space="preserve">their mother tongue. Although a lot of assistance </w:t>
      </w:r>
      <w:proofErr w:type="gramStart"/>
      <w:r w:rsidR="00E10236">
        <w:rPr>
          <w:rFonts w:ascii="Calibri" w:hAnsi="Calibri"/>
        </w:rPr>
        <w:t>was given</w:t>
      </w:r>
      <w:proofErr w:type="gramEnd"/>
      <w:r w:rsidR="00E10236">
        <w:rPr>
          <w:rFonts w:ascii="Calibri" w:hAnsi="Calibri"/>
        </w:rPr>
        <w:t xml:space="preserve"> during monthly branch rehearsals, </w:t>
      </w:r>
      <w:r w:rsidR="001F6C9C">
        <w:rPr>
          <w:rFonts w:ascii="Calibri" w:hAnsi="Calibri"/>
        </w:rPr>
        <w:t>I</w:t>
      </w:r>
      <w:r w:rsidR="00E10236">
        <w:rPr>
          <w:rFonts w:ascii="Calibri" w:hAnsi="Calibri"/>
        </w:rPr>
        <w:t xml:space="preserve"> recommend </w:t>
      </w:r>
      <w:r w:rsidR="002924B9">
        <w:rPr>
          <w:rFonts w:ascii="Calibri" w:hAnsi="Calibri"/>
        </w:rPr>
        <w:t>translating</w:t>
      </w:r>
      <w:r w:rsidR="00E10236">
        <w:rPr>
          <w:rFonts w:ascii="Calibri" w:hAnsi="Calibri"/>
        </w:rPr>
        <w:t xml:space="preserve"> the guides for usage in the field. </w:t>
      </w:r>
    </w:p>
    <w:p w:rsidR="002924B9" w:rsidRPr="007F2C50" w:rsidRDefault="008A7DCC" w:rsidP="0055711A">
      <w:pPr>
        <w:rPr>
          <w:rFonts w:ascii="Calibri" w:hAnsi="Calibri"/>
          <w:b/>
          <w:i/>
          <w:u w:val="single"/>
        </w:rPr>
      </w:pPr>
      <w:r>
        <w:rPr>
          <w:rFonts w:ascii="Calibri" w:hAnsi="Calibri"/>
          <w:b/>
          <w:i/>
          <w:u w:val="single"/>
        </w:rPr>
        <w:t>Objective 8</w:t>
      </w:r>
      <w:r w:rsidR="002924B9" w:rsidRPr="007F2C50">
        <w:rPr>
          <w:rFonts w:ascii="Calibri" w:hAnsi="Calibri"/>
          <w:b/>
          <w:i/>
          <w:u w:val="single"/>
        </w:rPr>
        <w:t>: Are there benefits for DFs?</w:t>
      </w:r>
    </w:p>
    <w:p w:rsidR="002924B9" w:rsidRDefault="002924B9" w:rsidP="0055711A">
      <w:pPr>
        <w:rPr>
          <w:rFonts w:ascii="Calibri" w:hAnsi="Calibri"/>
        </w:rPr>
      </w:pPr>
      <w:r>
        <w:rPr>
          <w:rFonts w:ascii="Calibri" w:hAnsi="Calibri"/>
        </w:rPr>
        <w:t xml:space="preserve">Since the beginning, DFs were very excited about the pilot, since they have been waiting for something like this for a long time. DFs seemingly enjoyed educating their clients, trying their best to make them understand, responding to their questions and sharing their excitement. Furthermore, they indicated that they </w:t>
      </w:r>
      <w:r w:rsidR="007F2C50">
        <w:rPr>
          <w:rFonts w:ascii="Calibri" w:hAnsi="Calibri"/>
        </w:rPr>
        <w:t>have</w:t>
      </w:r>
      <w:r>
        <w:rPr>
          <w:rFonts w:ascii="Calibri" w:hAnsi="Calibri"/>
        </w:rPr>
        <w:t xml:space="preserve"> learned </w:t>
      </w:r>
      <w:r w:rsidR="007F2C50">
        <w:rPr>
          <w:rFonts w:ascii="Calibri" w:hAnsi="Calibri"/>
        </w:rPr>
        <w:t>themselves from</w:t>
      </w:r>
      <w:r>
        <w:rPr>
          <w:rFonts w:ascii="Calibri" w:hAnsi="Calibri"/>
        </w:rPr>
        <w:t xml:space="preserve"> </w:t>
      </w:r>
      <w:r w:rsidR="008A7DCC">
        <w:rPr>
          <w:rFonts w:ascii="Calibri" w:hAnsi="Calibri"/>
        </w:rPr>
        <w:t>delivering TLC</w:t>
      </w:r>
      <w:r>
        <w:rPr>
          <w:rFonts w:ascii="Calibri" w:hAnsi="Calibri"/>
        </w:rPr>
        <w:t xml:space="preserve"> and have now a better understanding </w:t>
      </w:r>
      <w:r w:rsidR="007F2C50">
        <w:rPr>
          <w:rFonts w:ascii="Calibri" w:hAnsi="Calibri"/>
        </w:rPr>
        <w:t>on</w:t>
      </w:r>
      <w:r>
        <w:rPr>
          <w:rFonts w:ascii="Calibri" w:hAnsi="Calibri"/>
        </w:rPr>
        <w:t xml:space="preserve"> </w:t>
      </w:r>
      <w:r w:rsidR="007F2C50">
        <w:rPr>
          <w:rFonts w:ascii="Calibri" w:hAnsi="Calibri"/>
        </w:rPr>
        <w:t xml:space="preserve">how to manage their </w:t>
      </w:r>
      <w:r w:rsidR="00AF70C4">
        <w:rPr>
          <w:rFonts w:ascii="Calibri" w:hAnsi="Calibri"/>
        </w:rPr>
        <w:t xml:space="preserve">own </w:t>
      </w:r>
      <w:r w:rsidR="007F2C50">
        <w:rPr>
          <w:rFonts w:ascii="Calibri" w:hAnsi="Calibri"/>
        </w:rPr>
        <w:t>debts</w:t>
      </w:r>
      <w:r>
        <w:rPr>
          <w:rFonts w:ascii="Calibri" w:hAnsi="Calibri"/>
        </w:rPr>
        <w:t xml:space="preserve">. </w:t>
      </w:r>
    </w:p>
    <w:p w:rsidR="008959EC" w:rsidRDefault="008959EC" w:rsidP="0055711A">
      <w:pPr>
        <w:rPr>
          <w:rFonts w:ascii="Calibri" w:hAnsi="Calibri"/>
        </w:rPr>
      </w:pPr>
      <w:r>
        <w:rPr>
          <w:rFonts w:ascii="Calibri" w:hAnsi="Calibri"/>
        </w:rPr>
        <w:t xml:space="preserve">Some of the DFs already asked me, what </w:t>
      </w:r>
      <w:proofErr w:type="gramStart"/>
      <w:r>
        <w:rPr>
          <w:rFonts w:ascii="Calibri" w:hAnsi="Calibri"/>
        </w:rPr>
        <w:t>will</w:t>
      </w:r>
      <w:proofErr w:type="gramEnd"/>
      <w:r>
        <w:rPr>
          <w:rFonts w:ascii="Calibri" w:hAnsi="Calibri"/>
        </w:rPr>
        <w:t xml:space="preserve"> happen in January. They are very worried about their clients and hope that they could continue with the TLCs. </w:t>
      </w:r>
    </w:p>
    <w:p w:rsidR="00DE04C8" w:rsidRDefault="00DE04C8" w:rsidP="00DE04C8">
      <w:pPr>
        <w:rPr>
          <w:rFonts w:ascii="Calibri" w:hAnsi="Calibri"/>
        </w:rPr>
      </w:pPr>
    </w:p>
    <w:p w:rsidR="008959EC" w:rsidRDefault="008959EC" w:rsidP="00DE04C8">
      <w:pPr>
        <w:rPr>
          <w:rFonts w:ascii="Calibri" w:hAnsi="Calibri"/>
          <w:b/>
        </w:rPr>
      </w:pPr>
    </w:p>
    <w:p w:rsidR="00DE04C8" w:rsidRDefault="00653AF0" w:rsidP="00DE04C8">
      <w:pPr>
        <w:rPr>
          <w:rFonts w:ascii="Calibri" w:hAnsi="Calibri"/>
          <w:b/>
        </w:rPr>
      </w:pPr>
      <w:r>
        <w:rPr>
          <w:rFonts w:ascii="Calibri" w:hAnsi="Calibri"/>
          <w:b/>
        </w:rPr>
        <w:t>Conclusions</w:t>
      </w:r>
    </w:p>
    <w:p w:rsidR="0055711A" w:rsidRDefault="008A7DCC">
      <w:pPr>
        <w:rPr>
          <w:rFonts w:ascii="Calibri" w:hAnsi="Calibri"/>
        </w:rPr>
      </w:pPr>
      <w:r>
        <w:rPr>
          <w:rFonts w:ascii="Calibri" w:hAnsi="Calibri"/>
        </w:rPr>
        <w:t>Generally, we can say that t</w:t>
      </w:r>
      <w:r w:rsidR="00BF0538">
        <w:rPr>
          <w:rFonts w:ascii="Calibri" w:hAnsi="Calibri"/>
        </w:rPr>
        <w:t>he pilot did not have any negative imp</w:t>
      </w:r>
      <w:r w:rsidR="00437F3D">
        <w:rPr>
          <w:rFonts w:ascii="Calibri" w:hAnsi="Calibri"/>
        </w:rPr>
        <w:t xml:space="preserve">lications on staff, </w:t>
      </w:r>
      <w:r w:rsidR="00BF0538">
        <w:rPr>
          <w:rFonts w:ascii="Calibri" w:hAnsi="Calibri"/>
        </w:rPr>
        <w:t>clients</w:t>
      </w:r>
      <w:r w:rsidR="00437F3D">
        <w:rPr>
          <w:rFonts w:ascii="Calibri" w:hAnsi="Calibri"/>
        </w:rPr>
        <w:t xml:space="preserve"> or their performance</w:t>
      </w:r>
      <w:r w:rsidR="00BF0538">
        <w:rPr>
          <w:rFonts w:ascii="Calibri" w:hAnsi="Calibri"/>
        </w:rPr>
        <w:t xml:space="preserve">. Clients that run businesses attended TLCs regularly, because they valued the information provided. They even started applying their knowledge, though it is a slow process and it will need time until we will see measurable results. Quality </w:t>
      </w:r>
      <w:r w:rsidR="00437F3D">
        <w:rPr>
          <w:rFonts w:ascii="Calibri" w:hAnsi="Calibri"/>
        </w:rPr>
        <w:t xml:space="preserve">of TLCs </w:t>
      </w:r>
      <w:proofErr w:type="gramStart"/>
      <w:r w:rsidR="00BF0538">
        <w:rPr>
          <w:rFonts w:ascii="Calibri" w:hAnsi="Calibri"/>
        </w:rPr>
        <w:t>was maintained or even improved throughout the pilot</w:t>
      </w:r>
      <w:r w:rsidR="00C04951">
        <w:rPr>
          <w:rFonts w:ascii="Calibri" w:hAnsi="Calibri"/>
        </w:rPr>
        <w:t xml:space="preserve"> with DFs enjoying the delivery</w:t>
      </w:r>
      <w:proofErr w:type="gramEnd"/>
      <w:r w:rsidR="00C04951">
        <w:rPr>
          <w:rFonts w:ascii="Calibri" w:hAnsi="Calibri"/>
        </w:rPr>
        <w:t xml:space="preserve">. </w:t>
      </w:r>
      <w:r w:rsidR="00BF0538">
        <w:rPr>
          <w:rFonts w:ascii="Calibri" w:hAnsi="Calibri"/>
        </w:rPr>
        <w:t xml:space="preserve">Supervision was appropriate but can be improve through training of BMs on the actual module. </w:t>
      </w:r>
      <w:r>
        <w:rPr>
          <w:rFonts w:ascii="Calibri" w:hAnsi="Calibri"/>
        </w:rPr>
        <w:t>However, there are a still a couple of areas, which require a follow up by the PRIDE department:</w:t>
      </w:r>
    </w:p>
    <w:p w:rsidR="008A7DCC" w:rsidRDefault="008A7DCC" w:rsidP="008A7DCC">
      <w:pPr>
        <w:pStyle w:val="ListParagraph"/>
        <w:numPr>
          <w:ilvl w:val="0"/>
          <w:numId w:val="3"/>
        </w:numPr>
        <w:rPr>
          <w:rFonts w:ascii="Calibri" w:hAnsi="Calibri"/>
        </w:rPr>
      </w:pPr>
      <w:r>
        <w:rPr>
          <w:rFonts w:ascii="Calibri" w:hAnsi="Calibri"/>
        </w:rPr>
        <w:t>Revision sessions: are they working or is too much time between the actual trainings</w:t>
      </w:r>
    </w:p>
    <w:p w:rsidR="008A7DCC" w:rsidRDefault="008A7DCC" w:rsidP="008A7DCC">
      <w:pPr>
        <w:pStyle w:val="ListParagraph"/>
        <w:numPr>
          <w:ilvl w:val="0"/>
          <w:numId w:val="3"/>
        </w:numPr>
        <w:rPr>
          <w:rFonts w:ascii="Calibri" w:hAnsi="Calibri"/>
        </w:rPr>
      </w:pPr>
      <w:r>
        <w:rPr>
          <w:rFonts w:ascii="Calibri" w:hAnsi="Calibri"/>
        </w:rPr>
        <w:t xml:space="preserve">How many clients </w:t>
      </w:r>
      <w:r w:rsidR="00437F3D">
        <w:rPr>
          <w:rFonts w:ascii="Calibri" w:hAnsi="Calibri"/>
        </w:rPr>
        <w:t>did attend</w:t>
      </w:r>
      <w:r>
        <w:rPr>
          <w:rFonts w:ascii="Calibri" w:hAnsi="Calibri"/>
        </w:rPr>
        <w:t xml:space="preserve"> the full training? TLC </w:t>
      </w:r>
      <w:r w:rsidR="00437F3D">
        <w:rPr>
          <w:rFonts w:ascii="Calibri" w:hAnsi="Calibri"/>
        </w:rPr>
        <w:t>can’t</w:t>
      </w:r>
      <w:r>
        <w:rPr>
          <w:rFonts w:ascii="Calibri" w:hAnsi="Calibri"/>
        </w:rPr>
        <w:t xml:space="preserve"> be properly delivered because of poor attendance</w:t>
      </w:r>
    </w:p>
    <w:p w:rsidR="008A7DCC" w:rsidRDefault="008A7DCC" w:rsidP="008A7DCC">
      <w:pPr>
        <w:pStyle w:val="ListParagraph"/>
        <w:numPr>
          <w:ilvl w:val="0"/>
          <w:numId w:val="3"/>
        </w:numPr>
        <w:rPr>
          <w:rFonts w:ascii="Calibri" w:hAnsi="Calibri"/>
        </w:rPr>
      </w:pPr>
      <w:r>
        <w:rPr>
          <w:rFonts w:ascii="Calibri" w:hAnsi="Calibri"/>
        </w:rPr>
        <w:t>Compare BMs supervision with monitors to get a sense about quality of their supervision</w:t>
      </w:r>
    </w:p>
    <w:p w:rsidR="008A7DCC" w:rsidRDefault="008A7DCC" w:rsidP="008A7DCC">
      <w:pPr>
        <w:pStyle w:val="ListParagraph"/>
        <w:numPr>
          <w:ilvl w:val="0"/>
          <w:numId w:val="3"/>
        </w:numPr>
        <w:rPr>
          <w:rFonts w:ascii="Calibri" w:hAnsi="Calibri"/>
        </w:rPr>
      </w:pPr>
      <w:r>
        <w:rPr>
          <w:rFonts w:ascii="Calibri" w:hAnsi="Calibri"/>
        </w:rPr>
        <w:t>Are DFs skipping items on the CM agenda in order to get their work done?</w:t>
      </w:r>
    </w:p>
    <w:p w:rsidR="008A7DCC" w:rsidRDefault="008A7DCC" w:rsidP="008A7DCC">
      <w:pPr>
        <w:pStyle w:val="ListParagraph"/>
        <w:numPr>
          <w:ilvl w:val="0"/>
          <w:numId w:val="3"/>
        </w:numPr>
        <w:rPr>
          <w:rFonts w:ascii="Calibri" w:hAnsi="Calibri"/>
        </w:rPr>
      </w:pPr>
      <w:r>
        <w:rPr>
          <w:rFonts w:ascii="Calibri" w:hAnsi="Calibri"/>
        </w:rPr>
        <w:t>Collection of education indicators to measure clients’ change in knowledge, attitude and behaviour</w:t>
      </w:r>
    </w:p>
    <w:p w:rsidR="008A7DCC" w:rsidRPr="008A7DCC" w:rsidRDefault="008A7DCC" w:rsidP="008A7DCC">
      <w:pPr>
        <w:pStyle w:val="ListParagraph"/>
        <w:rPr>
          <w:rFonts w:ascii="Calibri" w:hAnsi="Calibri"/>
        </w:rPr>
      </w:pPr>
    </w:p>
    <w:sectPr w:rsidR="008A7DCC" w:rsidRPr="008A7DCC" w:rsidSect="00B60FC4">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C4" w:rsidRDefault="00AF70C4" w:rsidP="00582FDC">
      <w:pPr>
        <w:spacing w:after="0" w:line="240" w:lineRule="auto"/>
      </w:pPr>
      <w:r>
        <w:separator/>
      </w:r>
    </w:p>
  </w:endnote>
  <w:endnote w:type="continuationSeparator" w:id="0">
    <w:p w:rsidR="00AF70C4" w:rsidRDefault="00AF70C4" w:rsidP="0058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C4" w:rsidRDefault="00AF70C4" w:rsidP="00582FDC">
      <w:pPr>
        <w:spacing w:after="0" w:line="240" w:lineRule="auto"/>
      </w:pPr>
      <w:r>
        <w:separator/>
      </w:r>
    </w:p>
  </w:footnote>
  <w:footnote w:type="continuationSeparator" w:id="0">
    <w:p w:rsidR="00AF70C4" w:rsidRDefault="00AF70C4" w:rsidP="0058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C4" w:rsidRDefault="00AF70C4">
    <w:pPr>
      <w:pStyle w:val="Header"/>
      <w:tabs>
        <w:tab w:val="left" w:pos="2580"/>
        <w:tab w:val="left" w:pos="2985"/>
      </w:tabs>
      <w:spacing w:after="120" w:line="276" w:lineRule="auto"/>
      <w:rPr>
        <w:b/>
        <w:bCs/>
        <w:color w:val="1F497D" w:themeColor="text2"/>
        <w:sz w:val="28"/>
        <w:szCs w:val="28"/>
      </w:rPr>
    </w:pPr>
    <w:sdt>
      <w:sdtPr>
        <w:rPr>
          <w:b/>
          <w:bCs/>
          <w:color w:val="1F497D" w:themeColor="text2"/>
          <w:sz w:val="28"/>
          <w:szCs w:val="28"/>
        </w:rPr>
        <w:alias w:val="Title"/>
        <w:id w:val="77807649"/>
        <w:placeholder>
          <w:docPart w:val="42ADC51AC7F340A087160F3D37BA6806"/>
        </w:placeholder>
        <w:dataBinding w:prefixMappings="xmlns:ns0='http://schemas.openxmlformats.org/package/2006/metadata/core-properties' xmlns:ns1='http://purl.org/dc/elements/1.1/'" w:xpath="/ns0:coreProperties[1]/ns1:title[1]" w:storeItemID="{6C3C8BC8-F283-45AE-878A-BAB7291924A1}"/>
        <w:text/>
      </w:sdtPr>
      <w:sdtContent>
        <w:r>
          <w:rPr>
            <w:b/>
            <w:bCs/>
            <w:color w:val="1F497D" w:themeColor="text2"/>
            <w:sz w:val="28"/>
            <w:szCs w:val="28"/>
          </w:rPr>
          <w:t>The Small Enterprise Foundation</w:t>
        </w:r>
      </w:sdtContent>
    </w:sdt>
  </w:p>
  <w:sdt>
    <w:sdtPr>
      <w:rPr>
        <w:color w:val="4F81BD" w:themeColor="accent1"/>
      </w:rPr>
      <w:alias w:val="Subtitle"/>
      <w:id w:val="77807653"/>
      <w:placeholder>
        <w:docPart w:val="38DB5CA12DB3481BAF21CA107DAA837C"/>
      </w:placeholder>
      <w:dataBinding w:prefixMappings="xmlns:ns0='http://schemas.openxmlformats.org/package/2006/metadata/core-properties' xmlns:ns1='http://purl.org/dc/elements/1.1/'" w:xpath="/ns0:coreProperties[1]/ns1:subject[1]" w:storeItemID="{6C3C8BC8-F283-45AE-878A-BAB7291924A1}"/>
      <w:text/>
    </w:sdtPr>
    <w:sdtContent>
      <w:p w:rsidR="00AF70C4" w:rsidRDefault="00AF70C4">
        <w:pPr>
          <w:pStyle w:val="Header"/>
          <w:tabs>
            <w:tab w:val="left" w:pos="2580"/>
            <w:tab w:val="left" w:pos="2985"/>
          </w:tabs>
          <w:spacing w:after="120" w:line="276" w:lineRule="auto"/>
          <w:rPr>
            <w:color w:val="4F81BD" w:themeColor="accent1"/>
          </w:rPr>
        </w:pPr>
        <w:r>
          <w:rPr>
            <w:color w:val="4F81BD" w:themeColor="accent1"/>
          </w:rPr>
          <w:t>Midterm Evaluation – TLC pilot – September 2011</w:t>
        </w:r>
      </w:p>
    </w:sdtContent>
  </w:sdt>
  <w:sdt>
    <w:sdtPr>
      <w:rPr>
        <w:color w:val="808080" w:themeColor="text1" w:themeTint="7F"/>
      </w:rPr>
      <w:alias w:val="Author"/>
      <w:id w:val="77807658"/>
      <w:placeholder>
        <w:docPart w:val="0890FCFB2CB148B1A9C90BDBC589537B"/>
      </w:placeholder>
      <w:dataBinding w:prefixMappings="xmlns:ns0='http://schemas.openxmlformats.org/package/2006/metadata/core-properties' xmlns:ns1='http://purl.org/dc/elements/1.1/'" w:xpath="/ns0:coreProperties[1]/ns1:creator[1]" w:storeItemID="{6C3C8BC8-F283-45AE-878A-BAB7291924A1}"/>
      <w:text/>
    </w:sdtPr>
    <w:sdtContent>
      <w:p w:rsidR="00AF70C4" w:rsidRDefault="00AF70C4">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Cornelia Laass</w:t>
        </w:r>
      </w:p>
    </w:sdtContent>
  </w:sdt>
  <w:p w:rsidR="00AF70C4" w:rsidRDefault="00AF70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36337"/>
    <w:multiLevelType w:val="hybridMultilevel"/>
    <w:tmpl w:val="DD64E7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3910F77"/>
    <w:multiLevelType w:val="hybridMultilevel"/>
    <w:tmpl w:val="27CE6EB0"/>
    <w:lvl w:ilvl="0" w:tplc="66EAB81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6783AC6"/>
    <w:multiLevelType w:val="hybridMultilevel"/>
    <w:tmpl w:val="E3E8F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2FDC"/>
    <w:rsid w:val="00035796"/>
    <w:rsid w:val="00066CCD"/>
    <w:rsid w:val="000A4247"/>
    <w:rsid w:val="000B4084"/>
    <w:rsid w:val="000C33D1"/>
    <w:rsid w:val="000C3F44"/>
    <w:rsid w:val="001100DE"/>
    <w:rsid w:val="00135637"/>
    <w:rsid w:val="00182690"/>
    <w:rsid w:val="00194629"/>
    <w:rsid w:val="001C4C2A"/>
    <w:rsid w:val="001C6310"/>
    <w:rsid w:val="001F6C9C"/>
    <w:rsid w:val="001F70BE"/>
    <w:rsid w:val="00240785"/>
    <w:rsid w:val="00253840"/>
    <w:rsid w:val="00262C1B"/>
    <w:rsid w:val="002924B9"/>
    <w:rsid w:val="00316854"/>
    <w:rsid w:val="003306E1"/>
    <w:rsid w:val="00362801"/>
    <w:rsid w:val="003B3F54"/>
    <w:rsid w:val="00437F3D"/>
    <w:rsid w:val="004700E2"/>
    <w:rsid w:val="00470F7B"/>
    <w:rsid w:val="00471C87"/>
    <w:rsid w:val="004A72B7"/>
    <w:rsid w:val="004C19FB"/>
    <w:rsid w:val="004E0208"/>
    <w:rsid w:val="00507904"/>
    <w:rsid w:val="00542E1A"/>
    <w:rsid w:val="00545A5B"/>
    <w:rsid w:val="0055711A"/>
    <w:rsid w:val="00582FDC"/>
    <w:rsid w:val="00594093"/>
    <w:rsid w:val="005A77FE"/>
    <w:rsid w:val="00653AF0"/>
    <w:rsid w:val="0065652C"/>
    <w:rsid w:val="006A2F0A"/>
    <w:rsid w:val="006E1416"/>
    <w:rsid w:val="006E51F0"/>
    <w:rsid w:val="007601CA"/>
    <w:rsid w:val="00772649"/>
    <w:rsid w:val="0078191B"/>
    <w:rsid w:val="007A167D"/>
    <w:rsid w:val="007C2FD5"/>
    <w:rsid w:val="007F2C50"/>
    <w:rsid w:val="00821375"/>
    <w:rsid w:val="00825772"/>
    <w:rsid w:val="008959EC"/>
    <w:rsid w:val="008A7DCC"/>
    <w:rsid w:val="00982293"/>
    <w:rsid w:val="009B4799"/>
    <w:rsid w:val="009E11B2"/>
    <w:rsid w:val="00A03D80"/>
    <w:rsid w:val="00A152C6"/>
    <w:rsid w:val="00AE5CEE"/>
    <w:rsid w:val="00AF70C4"/>
    <w:rsid w:val="00B60FC4"/>
    <w:rsid w:val="00BA28BA"/>
    <w:rsid w:val="00BB1C1E"/>
    <w:rsid w:val="00BD0236"/>
    <w:rsid w:val="00BD20B3"/>
    <w:rsid w:val="00BF0538"/>
    <w:rsid w:val="00C04951"/>
    <w:rsid w:val="00C07BA6"/>
    <w:rsid w:val="00C64C3A"/>
    <w:rsid w:val="00C94809"/>
    <w:rsid w:val="00C961E5"/>
    <w:rsid w:val="00CC6D54"/>
    <w:rsid w:val="00CD027E"/>
    <w:rsid w:val="00D60D0A"/>
    <w:rsid w:val="00D942F1"/>
    <w:rsid w:val="00DB71FA"/>
    <w:rsid w:val="00DE04C8"/>
    <w:rsid w:val="00E10236"/>
    <w:rsid w:val="00E20423"/>
    <w:rsid w:val="00E31418"/>
    <w:rsid w:val="00E93ECF"/>
    <w:rsid w:val="00EB06EF"/>
    <w:rsid w:val="00ED00D7"/>
    <w:rsid w:val="00EE74AB"/>
    <w:rsid w:val="00F233B8"/>
    <w:rsid w:val="00F60D3D"/>
    <w:rsid w:val="00FB0C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FDC"/>
  </w:style>
  <w:style w:type="paragraph" w:styleId="Footer">
    <w:name w:val="footer"/>
    <w:basedOn w:val="Normal"/>
    <w:link w:val="FooterChar"/>
    <w:uiPriority w:val="99"/>
    <w:semiHidden/>
    <w:unhideWhenUsed/>
    <w:rsid w:val="00582F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2FDC"/>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hAnsi="Tahoma" w:cs="Tahoma"/>
      <w:sz w:val="16"/>
      <w:szCs w:val="16"/>
    </w:rPr>
  </w:style>
  <w:style w:type="paragraph" w:styleId="ListParagraph">
    <w:name w:val="List Paragraph"/>
    <w:basedOn w:val="Normal"/>
    <w:uiPriority w:val="34"/>
    <w:qFormat/>
    <w:rsid w:val="004C19FB"/>
    <w:pPr>
      <w:ind w:left="720"/>
      <w:contextualSpacing/>
    </w:pPr>
  </w:style>
</w:styles>
</file>

<file path=word/webSettings.xml><?xml version="1.0" encoding="utf-8"?>
<w:webSettings xmlns:r="http://schemas.openxmlformats.org/officeDocument/2006/relationships" xmlns:w="http://schemas.openxmlformats.org/wordprocessingml/2006/main">
  <w:divs>
    <w:div w:id="733551938">
      <w:bodyDiv w:val="1"/>
      <w:marLeft w:val="0"/>
      <w:marRight w:val="0"/>
      <w:marTop w:val="0"/>
      <w:marBottom w:val="0"/>
      <w:divBdr>
        <w:top w:val="none" w:sz="0" w:space="0" w:color="auto"/>
        <w:left w:val="none" w:sz="0" w:space="0" w:color="auto"/>
        <w:bottom w:val="none" w:sz="0" w:space="0" w:color="auto"/>
        <w:right w:val="none" w:sz="0" w:space="0" w:color="auto"/>
      </w:divBdr>
    </w:div>
    <w:div w:id="811291238">
      <w:bodyDiv w:val="1"/>
      <w:marLeft w:val="0"/>
      <w:marRight w:val="0"/>
      <w:marTop w:val="0"/>
      <w:marBottom w:val="0"/>
      <w:divBdr>
        <w:top w:val="none" w:sz="0" w:space="0" w:color="auto"/>
        <w:left w:val="none" w:sz="0" w:space="0" w:color="auto"/>
        <w:bottom w:val="none" w:sz="0" w:space="0" w:color="auto"/>
        <w:right w:val="none" w:sz="0" w:space="0" w:color="auto"/>
      </w:divBdr>
    </w:div>
    <w:div w:id="1169056129">
      <w:bodyDiv w:val="1"/>
      <w:marLeft w:val="0"/>
      <w:marRight w:val="0"/>
      <w:marTop w:val="0"/>
      <w:marBottom w:val="0"/>
      <w:divBdr>
        <w:top w:val="none" w:sz="0" w:space="0" w:color="auto"/>
        <w:left w:val="none" w:sz="0" w:space="0" w:color="auto"/>
        <w:bottom w:val="none" w:sz="0" w:space="0" w:color="auto"/>
        <w:right w:val="none" w:sz="0" w:space="0" w:color="auto"/>
      </w:divBdr>
    </w:div>
    <w:div w:id="19218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VREBSMAN\Development\4%20Present%20Pilots%20&amp;%20Projects\FFH%20_%20TLC\FFH%20TLC%20pilot\Monitoring%20pilot\Midterm%20Evaluation\Analysis%20midterm%20evaluation%20TLC%20pilo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REBSMAN\Development\4%20Present%20Pilots%20&amp;%20Projects\FFH%20_%20TLC\FFH%20TLC%20pilot\Monitoring%20pilot\Midterm%20Evaluation\Analysis%20midterm%20evaluation%20TLC%20pilo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REBSMAN\Development\4%20Present%20Pilots%20&amp;%20Projects\FFH%20_%20TLC\FFH%20TLC%20pilot\Monitoring%20pilot\Midterm%20Evaluation\Analysis%20midterm%20evaluation%20TLC%20pil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plotArea>
      <c:layout/>
      <c:lineChart>
        <c:grouping val="standard"/>
        <c:ser>
          <c:idx val="0"/>
          <c:order val="0"/>
          <c:tx>
            <c:strRef>
              <c:f>Attendance!$A$5</c:f>
              <c:strCache>
                <c:ptCount val="1"/>
                <c:pt idx="0">
                  <c:v>TLC</c:v>
                </c:pt>
              </c:strCache>
            </c:strRef>
          </c:tx>
          <c:cat>
            <c:strRef>
              <c:f>Attendance!$B$4:$E$4</c:f>
              <c:strCache>
                <c:ptCount val="4"/>
                <c:pt idx="0">
                  <c:v>May'11</c:v>
                </c:pt>
                <c:pt idx="1">
                  <c:v>June'11</c:v>
                </c:pt>
                <c:pt idx="2">
                  <c:v>July'11</c:v>
                </c:pt>
                <c:pt idx="3">
                  <c:v>Aug'11</c:v>
                </c:pt>
              </c:strCache>
            </c:strRef>
          </c:cat>
          <c:val>
            <c:numRef>
              <c:f>Attendance!$B$5:$E$5</c:f>
              <c:numCache>
                <c:formatCode>0%</c:formatCode>
                <c:ptCount val="4"/>
                <c:pt idx="0">
                  <c:v>0.62000000000000011</c:v>
                </c:pt>
                <c:pt idx="1">
                  <c:v>0.53</c:v>
                </c:pt>
                <c:pt idx="2">
                  <c:v>0.53</c:v>
                </c:pt>
                <c:pt idx="3">
                  <c:v>0.58000000000000007</c:v>
                </c:pt>
              </c:numCache>
            </c:numRef>
          </c:val>
        </c:ser>
        <c:ser>
          <c:idx val="1"/>
          <c:order val="1"/>
          <c:tx>
            <c:strRef>
              <c:f>Attendance!$A$6</c:f>
              <c:strCache>
                <c:ptCount val="1"/>
                <c:pt idx="0">
                  <c:v>Burgersfort</c:v>
                </c:pt>
              </c:strCache>
            </c:strRef>
          </c:tx>
          <c:cat>
            <c:strRef>
              <c:f>Attendance!$B$4:$E$4</c:f>
              <c:strCache>
                <c:ptCount val="4"/>
                <c:pt idx="0">
                  <c:v>May'11</c:v>
                </c:pt>
                <c:pt idx="1">
                  <c:v>June'11</c:v>
                </c:pt>
                <c:pt idx="2">
                  <c:v>July'11</c:v>
                </c:pt>
                <c:pt idx="3">
                  <c:v>Aug'11</c:v>
                </c:pt>
              </c:strCache>
            </c:strRef>
          </c:cat>
          <c:val>
            <c:numRef>
              <c:f>Attendance!$B$6:$E$6</c:f>
              <c:numCache>
                <c:formatCode>0%</c:formatCode>
                <c:ptCount val="4"/>
                <c:pt idx="0">
                  <c:v>0.7400000000000001</c:v>
                </c:pt>
                <c:pt idx="1">
                  <c:v>0.75000000000000011</c:v>
                </c:pt>
                <c:pt idx="2">
                  <c:v>0.7400000000000001</c:v>
                </c:pt>
                <c:pt idx="3">
                  <c:v>0.75000000000000011</c:v>
                </c:pt>
              </c:numCache>
            </c:numRef>
          </c:val>
        </c:ser>
        <c:ser>
          <c:idx val="2"/>
          <c:order val="2"/>
          <c:tx>
            <c:strRef>
              <c:f>Attendance!$A$7</c:f>
              <c:strCache>
                <c:ptCount val="1"/>
                <c:pt idx="0">
                  <c:v>Trichardsdal</c:v>
                </c:pt>
              </c:strCache>
            </c:strRef>
          </c:tx>
          <c:cat>
            <c:strRef>
              <c:f>Attendance!$B$4:$E$4</c:f>
              <c:strCache>
                <c:ptCount val="4"/>
                <c:pt idx="0">
                  <c:v>May'11</c:v>
                </c:pt>
                <c:pt idx="1">
                  <c:v>June'11</c:v>
                </c:pt>
                <c:pt idx="2">
                  <c:v>July'11</c:v>
                </c:pt>
                <c:pt idx="3">
                  <c:v>Aug'11</c:v>
                </c:pt>
              </c:strCache>
            </c:strRef>
          </c:cat>
          <c:val>
            <c:numRef>
              <c:f>Attendance!$B$7:$E$7</c:f>
              <c:numCache>
                <c:formatCode>0%</c:formatCode>
                <c:ptCount val="4"/>
                <c:pt idx="0">
                  <c:v>0.62000000000000011</c:v>
                </c:pt>
                <c:pt idx="1">
                  <c:v>0.63000000000000012</c:v>
                </c:pt>
                <c:pt idx="2">
                  <c:v>0.6100000000000001</c:v>
                </c:pt>
                <c:pt idx="3">
                  <c:v>0.56999999999999995</c:v>
                </c:pt>
              </c:numCache>
            </c:numRef>
          </c:val>
        </c:ser>
        <c:marker val="1"/>
        <c:axId val="68155264"/>
        <c:axId val="68156800"/>
      </c:lineChart>
      <c:catAx>
        <c:axId val="68155264"/>
        <c:scaling>
          <c:orientation val="minMax"/>
        </c:scaling>
        <c:axPos val="b"/>
        <c:tickLblPos val="nextTo"/>
        <c:crossAx val="68156800"/>
        <c:crosses val="autoZero"/>
        <c:auto val="1"/>
        <c:lblAlgn val="ctr"/>
        <c:lblOffset val="100"/>
      </c:catAx>
      <c:valAx>
        <c:axId val="68156800"/>
        <c:scaling>
          <c:orientation val="minMax"/>
        </c:scaling>
        <c:axPos val="l"/>
        <c:majorGridlines/>
        <c:numFmt formatCode="0%" sourceLinked="1"/>
        <c:tickLblPos val="nextTo"/>
        <c:crossAx val="6815526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a:pPr>
            <a:r>
              <a:rPr lang="en-ZA" sz="1400"/>
              <a:t>Drop</a:t>
            </a:r>
            <a:r>
              <a:rPr lang="en-ZA" sz="1400" baseline="0"/>
              <a:t> out Burgersfort</a:t>
            </a:r>
            <a:endParaRPr lang="en-ZA" sz="1400"/>
          </a:p>
        </c:rich>
      </c:tx>
      <c:layout/>
    </c:title>
    <c:plotArea>
      <c:layout/>
      <c:lineChart>
        <c:grouping val="standard"/>
        <c:ser>
          <c:idx val="0"/>
          <c:order val="0"/>
          <c:tx>
            <c:strRef>
              <c:f>'Drop out'!$A$28</c:f>
              <c:strCache>
                <c:ptCount val="1"/>
                <c:pt idx="0">
                  <c:v>2010</c:v>
                </c:pt>
              </c:strCache>
            </c:strRef>
          </c:tx>
          <c:cat>
            <c:strRef>
              <c:f>'Drop out'!$B$27:$H$27</c:f>
              <c:strCache>
                <c:ptCount val="7"/>
                <c:pt idx="0">
                  <c:v>May</c:v>
                </c:pt>
                <c:pt idx="1">
                  <c:v>June</c:v>
                </c:pt>
                <c:pt idx="2">
                  <c:v>July</c:v>
                </c:pt>
                <c:pt idx="3">
                  <c:v>Aug</c:v>
                </c:pt>
                <c:pt idx="4">
                  <c:v>Sept</c:v>
                </c:pt>
                <c:pt idx="5">
                  <c:v>Oct</c:v>
                </c:pt>
                <c:pt idx="6">
                  <c:v>Nov</c:v>
                </c:pt>
              </c:strCache>
            </c:strRef>
          </c:cat>
          <c:val>
            <c:numRef>
              <c:f>'Drop out'!$B$28:$H$28</c:f>
              <c:numCache>
                <c:formatCode>0%</c:formatCode>
                <c:ptCount val="7"/>
                <c:pt idx="0">
                  <c:v>0.1268521864835562</c:v>
                </c:pt>
                <c:pt idx="1">
                  <c:v>0.13623395149786019</c:v>
                </c:pt>
                <c:pt idx="2">
                  <c:v>0.12661769849597762</c:v>
                </c:pt>
                <c:pt idx="3">
                  <c:v>0.11652115513767629</c:v>
                </c:pt>
                <c:pt idx="4">
                  <c:v>0.1210596914822267</c:v>
                </c:pt>
                <c:pt idx="5">
                  <c:v>0.11692726036709722</c:v>
                </c:pt>
                <c:pt idx="6">
                  <c:v>0.11357424840570908</c:v>
                </c:pt>
              </c:numCache>
            </c:numRef>
          </c:val>
        </c:ser>
        <c:ser>
          <c:idx val="1"/>
          <c:order val="1"/>
          <c:tx>
            <c:strRef>
              <c:f>'Drop out'!$A$29</c:f>
              <c:strCache>
                <c:ptCount val="1"/>
                <c:pt idx="0">
                  <c:v>2011</c:v>
                </c:pt>
              </c:strCache>
            </c:strRef>
          </c:tx>
          <c:cat>
            <c:strRef>
              <c:f>'Drop out'!$B$27:$H$27</c:f>
              <c:strCache>
                <c:ptCount val="7"/>
                <c:pt idx="0">
                  <c:v>May</c:v>
                </c:pt>
                <c:pt idx="1">
                  <c:v>June</c:v>
                </c:pt>
                <c:pt idx="2">
                  <c:v>July</c:v>
                </c:pt>
                <c:pt idx="3">
                  <c:v>Aug</c:v>
                </c:pt>
                <c:pt idx="4">
                  <c:v>Sept</c:v>
                </c:pt>
                <c:pt idx="5">
                  <c:v>Oct</c:v>
                </c:pt>
                <c:pt idx="6">
                  <c:v>Nov</c:v>
                </c:pt>
              </c:strCache>
            </c:strRef>
          </c:cat>
          <c:val>
            <c:numRef>
              <c:f>'Drop out'!$B$29:$H$29</c:f>
              <c:numCache>
                <c:formatCode>0%</c:formatCode>
                <c:ptCount val="7"/>
                <c:pt idx="0">
                  <c:v>0.11037012337445816</c:v>
                </c:pt>
                <c:pt idx="1">
                  <c:v>0.11709747742136406</c:v>
                </c:pt>
                <c:pt idx="2">
                  <c:v>0.11519456454601606</c:v>
                </c:pt>
              </c:numCache>
            </c:numRef>
          </c:val>
        </c:ser>
        <c:marker val="1"/>
        <c:axId val="61009280"/>
        <c:axId val="61011072"/>
      </c:lineChart>
      <c:catAx>
        <c:axId val="61009280"/>
        <c:scaling>
          <c:orientation val="minMax"/>
        </c:scaling>
        <c:axPos val="b"/>
        <c:tickLblPos val="nextTo"/>
        <c:crossAx val="61011072"/>
        <c:crosses val="autoZero"/>
        <c:auto val="1"/>
        <c:lblAlgn val="ctr"/>
        <c:lblOffset val="100"/>
      </c:catAx>
      <c:valAx>
        <c:axId val="61011072"/>
        <c:scaling>
          <c:orientation val="minMax"/>
        </c:scaling>
        <c:axPos val="l"/>
        <c:majorGridlines/>
        <c:numFmt formatCode="0%" sourceLinked="1"/>
        <c:tickLblPos val="nextTo"/>
        <c:crossAx val="610092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a:pPr>
            <a:r>
              <a:rPr lang="en-ZA" sz="1400"/>
              <a:t>Drop</a:t>
            </a:r>
            <a:r>
              <a:rPr lang="en-ZA" sz="1400" baseline="0"/>
              <a:t> out Trichardsdal</a:t>
            </a:r>
            <a:endParaRPr lang="en-ZA" sz="1400"/>
          </a:p>
        </c:rich>
      </c:tx>
      <c:layout/>
    </c:title>
    <c:plotArea>
      <c:layout/>
      <c:lineChart>
        <c:grouping val="standard"/>
        <c:ser>
          <c:idx val="0"/>
          <c:order val="0"/>
          <c:tx>
            <c:strRef>
              <c:f>'Drop out'!$J$28</c:f>
              <c:strCache>
                <c:ptCount val="1"/>
                <c:pt idx="0">
                  <c:v>2010</c:v>
                </c:pt>
              </c:strCache>
            </c:strRef>
          </c:tx>
          <c:cat>
            <c:strRef>
              <c:f>'Drop out'!$K$27:$Q$27</c:f>
              <c:strCache>
                <c:ptCount val="7"/>
                <c:pt idx="0">
                  <c:v>May</c:v>
                </c:pt>
                <c:pt idx="1">
                  <c:v>June</c:v>
                </c:pt>
                <c:pt idx="2">
                  <c:v>July</c:v>
                </c:pt>
                <c:pt idx="3">
                  <c:v>Aug</c:v>
                </c:pt>
                <c:pt idx="4">
                  <c:v>Sept</c:v>
                </c:pt>
                <c:pt idx="5">
                  <c:v>Oct</c:v>
                </c:pt>
                <c:pt idx="6">
                  <c:v>Nov</c:v>
                </c:pt>
              </c:strCache>
            </c:strRef>
          </c:cat>
          <c:val>
            <c:numRef>
              <c:f>'Drop out'!$K$28:$Q$28</c:f>
              <c:numCache>
                <c:formatCode>0%</c:formatCode>
                <c:ptCount val="7"/>
                <c:pt idx="0">
                  <c:v>0.15446829768042281</c:v>
                </c:pt>
                <c:pt idx="1">
                  <c:v>0.15945342753878697</c:v>
                </c:pt>
                <c:pt idx="2">
                  <c:v>0.161627224675336</c:v>
                </c:pt>
                <c:pt idx="3">
                  <c:v>0.16860860336904807</c:v>
                </c:pt>
                <c:pt idx="4">
                  <c:v>0.16440066065252715</c:v>
                </c:pt>
                <c:pt idx="5">
                  <c:v>0.16770661115666133</c:v>
                </c:pt>
                <c:pt idx="6">
                  <c:v>0.1554441717928898</c:v>
                </c:pt>
              </c:numCache>
            </c:numRef>
          </c:val>
        </c:ser>
        <c:ser>
          <c:idx val="1"/>
          <c:order val="1"/>
          <c:tx>
            <c:strRef>
              <c:f>'Drop out'!$J$29</c:f>
              <c:strCache>
                <c:ptCount val="1"/>
                <c:pt idx="0">
                  <c:v>2011</c:v>
                </c:pt>
              </c:strCache>
            </c:strRef>
          </c:tx>
          <c:cat>
            <c:strRef>
              <c:f>'Drop out'!$K$27:$Q$27</c:f>
              <c:strCache>
                <c:ptCount val="7"/>
                <c:pt idx="0">
                  <c:v>May</c:v>
                </c:pt>
                <c:pt idx="1">
                  <c:v>June</c:v>
                </c:pt>
                <c:pt idx="2">
                  <c:v>July</c:v>
                </c:pt>
                <c:pt idx="3">
                  <c:v>Aug</c:v>
                </c:pt>
                <c:pt idx="4">
                  <c:v>Sept</c:v>
                </c:pt>
                <c:pt idx="5">
                  <c:v>Oct</c:v>
                </c:pt>
                <c:pt idx="6">
                  <c:v>Nov</c:v>
                </c:pt>
              </c:strCache>
            </c:strRef>
          </c:cat>
          <c:val>
            <c:numRef>
              <c:f>'Drop out'!$K$29:$Q$29</c:f>
              <c:numCache>
                <c:formatCode>0%</c:formatCode>
                <c:ptCount val="7"/>
                <c:pt idx="0">
                  <c:v>0.15045954930733951</c:v>
                </c:pt>
                <c:pt idx="1">
                  <c:v>0.14688543854423008</c:v>
                </c:pt>
                <c:pt idx="2">
                  <c:v>0.13804606727944971</c:v>
                </c:pt>
              </c:numCache>
            </c:numRef>
          </c:val>
        </c:ser>
        <c:marker val="1"/>
        <c:axId val="67341696"/>
        <c:axId val="122803328"/>
      </c:lineChart>
      <c:catAx>
        <c:axId val="67341696"/>
        <c:scaling>
          <c:orientation val="minMax"/>
        </c:scaling>
        <c:axPos val="b"/>
        <c:tickLblPos val="nextTo"/>
        <c:crossAx val="122803328"/>
        <c:crosses val="autoZero"/>
        <c:auto val="1"/>
        <c:lblAlgn val="ctr"/>
        <c:lblOffset val="100"/>
      </c:catAx>
      <c:valAx>
        <c:axId val="122803328"/>
        <c:scaling>
          <c:orientation val="minMax"/>
        </c:scaling>
        <c:axPos val="l"/>
        <c:majorGridlines/>
        <c:numFmt formatCode="0%" sourceLinked="1"/>
        <c:tickLblPos val="nextTo"/>
        <c:crossAx val="67341696"/>
        <c:crosses val="autoZero"/>
        <c:crossBetween val="between"/>
      </c:valAx>
    </c:plotArea>
    <c:legend>
      <c:legendPos val="r"/>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ADC51AC7F340A087160F3D37BA6806"/>
        <w:category>
          <w:name w:val="General"/>
          <w:gallery w:val="placeholder"/>
        </w:category>
        <w:types>
          <w:type w:val="bbPlcHdr"/>
        </w:types>
        <w:behaviors>
          <w:behavior w:val="content"/>
        </w:behaviors>
        <w:guid w:val="{7BF226E2-F824-498D-9CB0-C338CAFFBE0E}"/>
      </w:docPartPr>
      <w:docPartBody>
        <w:p w:rsidR="001204D0" w:rsidRDefault="00887A5E" w:rsidP="00887A5E">
          <w:pPr>
            <w:pStyle w:val="42ADC51AC7F340A087160F3D37BA6806"/>
          </w:pPr>
          <w:r>
            <w:rPr>
              <w:b/>
              <w:bCs/>
              <w:color w:val="1F497D" w:themeColor="text2"/>
              <w:sz w:val="28"/>
              <w:szCs w:val="28"/>
            </w:rPr>
            <w:t>[Type the document title]</w:t>
          </w:r>
        </w:p>
      </w:docPartBody>
    </w:docPart>
    <w:docPart>
      <w:docPartPr>
        <w:name w:val="38DB5CA12DB3481BAF21CA107DAA837C"/>
        <w:category>
          <w:name w:val="General"/>
          <w:gallery w:val="placeholder"/>
        </w:category>
        <w:types>
          <w:type w:val="bbPlcHdr"/>
        </w:types>
        <w:behaviors>
          <w:behavior w:val="content"/>
        </w:behaviors>
        <w:guid w:val="{1D6AB04C-31B3-45E0-875C-4D054A4F5F54}"/>
      </w:docPartPr>
      <w:docPartBody>
        <w:p w:rsidR="001204D0" w:rsidRDefault="00887A5E" w:rsidP="00887A5E">
          <w:pPr>
            <w:pStyle w:val="38DB5CA12DB3481BAF21CA107DAA837C"/>
          </w:pPr>
          <w:r>
            <w:rPr>
              <w:color w:val="4F81BD" w:themeColor="accent1"/>
            </w:rPr>
            <w:t>[Type the document subtitle]</w:t>
          </w:r>
        </w:p>
      </w:docPartBody>
    </w:docPart>
    <w:docPart>
      <w:docPartPr>
        <w:name w:val="0890FCFB2CB148B1A9C90BDBC589537B"/>
        <w:category>
          <w:name w:val="General"/>
          <w:gallery w:val="placeholder"/>
        </w:category>
        <w:types>
          <w:type w:val="bbPlcHdr"/>
        </w:types>
        <w:behaviors>
          <w:behavior w:val="content"/>
        </w:behaviors>
        <w:guid w:val="{6EB55E08-1DE4-4759-A0C4-694CA7CEBBEA}"/>
      </w:docPartPr>
      <w:docPartBody>
        <w:p w:rsidR="001204D0" w:rsidRDefault="00887A5E" w:rsidP="00887A5E">
          <w:pPr>
            <w:pStyle w:val="0890FCFB2CB148B1A9C90BDBC589537B"/>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887A5E"/>
    <w:rsid w:val="001204D0"/>
    <w:rsid w:val="00317FA9"/>
    <w:rsid w:val="003F28A6"/>
    <w:rsid w:val="00561688"/>
    <w:rsid w:val="005A0118"/>
    <w:rsid w:val="00887A5E"/>
    <w:rsid w:val="009C4BF5"/>
    <w:rsid w:val="00B05B8B"/>
    <w:rsid w:val="00CA6DFA"/>
    <w:rsid w:val="00CA7CC0"/>
    <w:rsid w:val="00DA4C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DFDDFD53B942679044ABC9375C818D">
    <w:name w:val="E7DFDDFD53B942679044ABC9375C818D"/>
    <w:rsid w:val="00887A5E"/>
  </w:style>
  <w:style w:type="paragraph" w:customStyle="1" w:styleId="42ADC51AC7F340A087160F3D37BA6806">
    <w:name w:val="42ADC51AC7F340A087160F3D37BA6806"/>
    <w:rsid w:val="00887A5E"/>
  </w:style>
  <w:style w:type="paragraph" w:customStyle="1" w:styleId="38DB5CA12DB3481BAF21CA107DAA837C">
    <w:name w:val="38DB5CA12DB3481BAF21CA107DAA837C"/>
    <w:rsid w:val="00887A5E"/>
  </w:style>
  <w:style w:type="paragraph" w:customStyle="1" w:styleId="0890FCFB2CB148B1A9C90BDBC589537B">
    <w:name w:val="0890FCFB2CB148B1A9C90BDBC589537B"/>
    <w:rsid w:val="00887A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0129-D66A-4033-9684-18D2D24B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Small Enterprise Foundation</vt:lpstr>
    </vt:vector>
  </TitlesOfParts>
  <Company>The Small Enterprise Foundation</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Small Enterprise Foundation</dc:title>
  <dc:subject>Midterm Evaluation – TLC pilot – September 2011</dc:subject>
  <dc:creator>Cornelia Laass</dc:creator>
  <cp:keywords/>
  <dc:description/>
  <cp:lastModifiedBy>Cornelia Laass</cp:lastModifiedBy>
  <cp:revision>4</cp:revision>
  <dcterms:created xsi:type="dcterms:W3CDTF">2011-10-18T07:53:00Z</dcterms:created>
  <dcterms:modified xsi:type="dcterms:W3CDTF">2011-10-18T08:32:00Z</dcterms:modified>
</cp:coreProperties>
</file>